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0" w:type="auto"/>
        <w:tblInd w:w="-208" w:type="dxa"/>
        <w:tblLayout w:type="fixed"/>
        <w:tblCellMar>
          <w:top w:w="0" w:type="dxa"/>
          <w:left w:w="108" w:type="dxa"/>
          <w:bottom w:w="0" w:type="dxa"/>
          <w:right w:w="108" w:type="dxa"/>
        </w:tblCellMar>
      </w:tblPr>
      <w:tblGrid>
        <w:gridCol w:w="1756"/>
        <w:gridCol w:w="2246"/>
        <w:gridCol w:w="1276"/>
        <w:gridCol w:w="1559"/>
        <w:gridCol w:w="1276"/>
        <w:gridCol w:w="1701"/>
      </w:tblGrid>
      <w:tr w14:paraId="0A0E8F54">
        <w:tblPrEx>
          <w:tblCellMar>
            <w:top w:w="0" w:type="dxa"/>
            <w:left w:w="108" w:type="dxa"/>
            <w:bottom w:w="0" w:type="dxa"/>
            <w:right w:w="108" w:type="dxa"/>
          </w:tblCellMar>
        </w:tblPrEx>
        <w:trPr>
          <w:trHeight w:val="571" w:hRule="atLeast"/>
        </w:trPr>
        <w:tc>
          <w:tcPr>
            <w:tcW w:w="1756" w:type="dxa"/>
            <w:tcBorders>
              <w:top w:val="single" w:color="auto" w:sz="4" w:space="0"/>
              <w:left w:val="single" w:color="auto" w:sz="4" w:space="0"/>
              <w:bottom w:val="single" w:color="auto" w:sz="4" w:space="0"/>
              <w:right w:val="single" w:color="auto" w:sz="4" w:space="0"/>
            </w:tcBorders>
            <w:shd w:val="clear" w:color="auto" w:fill="C0C0C0"/>
            <w:vAlign w:val="center"/>
          </w:tcPr>
          <w:p w14:paraId="7291A54C">
            <w:pPr>
              <w:widowControl/>
              <w:spacing w:line="280" w:lineRule="exact"/>
              <w:jc w:val="left"/>
              <w:rPr>
                <w:rFonts w:ascii="宋体"/>
                <w:kern w:val="0"/>
                <w:sz w:val="24"/>
                <w:szCs w:val="24"/>
              </w:rPr>
            </w:pPr>
            <w:bookmarkStart w:id="0" w:name="_GoBack"/>
            <w:bookmarkEnd w:id="0"/>
            <w:r>
              <w:rPr>
                <w:rFonts w:hint="eastAsia" w:ascii="宋体"/>
                <w:sz w:val="24"/>
                <w:szCs w:val="24"/>
              </w:rPr>
              <w:t xml:space="preserve"> </w:t>
            </w:r>
            <w:r>
              <w:rPr>
                <w:rFonts w:hint="eastAsia" w:ascii="宋体" w:hAnsi="宋体"/>
                <w:kern w:val="0"/>
                <w:sz w:val="24"/>
                <w:szCs w:val="24"/>
              </w:rPr>
              <w:t>项目名称</w:t>
            </w:r>
          </w:p>
        </w:tc>
        <w:tc>
          <w:tcPr>
            <w:tcW w:w="2246" w:type="dxa"/>
            <w:tcBorders>
              <w:top w:val="single" w:color="auto" w:sz="4" w:space="0"/>
              <w:left w:val="nil"/>
              <w:bottom w:val="single" w:color="auto" w:sz="4" w:space="0"/>
              <w:right w:val="single" w:color="auto" w:sz="4" w:space="0"/>
            </w:tcBorders>
            <w:shd w:val="clear" w:color="auto" w:fill="auto"/>
            <w:vAlign w:val="center"/>
          </w:tcPr>
          <w:p w14:paraId="2846312B">
            <w:pPr>
              <w:widowControl/>
              <w:spacing w:line="280" w:lineRule="exact"/>
              <w:jc w:val="left"/>
              <w:rPr>
                <w:rFonts w:hint="eastAsia" w:ascii="Times New Roman" w:hAnsi="Times New Roman"/>
                <w:sz w:val="24"/>
                <w:szCs w:val="24"/>
              </w:rPr>
            </w:pPr>
            <w:r>
              <w:rPr>
                <w:rFonts w:hint="eastAsia" w:ascii="Times New Roman" w:hAnsi="Times New Roman"/>
                <w:sz w:val="24"/>
                <w:szCs w:val="24"/>
                <w:lang w:val="en-US" w:eastAsia="zh-CN"/>
              </w:rPr>
              <w:t>宣威市第一人民医院龙堡院区1台移动式C形臂X射线机核技术利用项目</w:t>
            </w:r>
          </w:p>
        </w:tc>
        <w:tc>
          <w:tcPr>
            <w:tcW w:w="1276" w:type="dxa"/>
            <w:tcBorders>
              <w:top w:val="single" w:color="auto" w:sz="4" w:space="0"/>
              <w:left w:val="nil"/>
              <w:bottom w:val="single" w:color="auto" w:sz="4" w:space="0"/>
              <w:right w:val="single" w:color="auto" w:sz="4" w:space="0"/>
            </w:tcBorders>
            <w:shd w:val="clear" w:color="auto" w:fill="C0C0C0"/>
            <w:vAlign w:val="center"/>
          </w:tcPr>
          <w:p w14:paraId="7528C0A2">
            <w:pPr>
              <w:widowControl/>
              <w:spacing w:line="280" w:lineRule="exact"/>
              <w:jc w:val="left"/>
              <w:rPr>
                <w:rFonts w:ascii="宋体"/>
                <w:kern w:val="0"/>
                <w:sz w:val="24"/>
                <w:szCs w:val="24"/>
              </w:rPr>
            </w:pPr>
            <w:r>
              <w:rPr>
                <w:rFonts w:hint="eastAsia" w:ascii="宋体" w:hAnsi="宋体"/>
                <w:kern w:val="0"/>
                <w:sz w:val="24"/>
                <w:szCs w:val="24"/>
              </w:rPr>
              <w:t>建设地点</w:t>
            </w:r>
          </w:p>
        </w:tc>
        <w:tc>
          <w:tcPr>
            <w:tcW w:w="1559" w:type="dxa"/>
            <w:tcBorders>
              <w:top w:val="single" w:color="auto" w:sz="4" w:space="0"/>
              <w:left w:val="nil"/>
              <w:bottom w:val="single" w:color="auto" w:sz="4" w:space="0"/>
              <w:right w:val="single" w:color="auto" w:sz="4" w:space="0"/>
            </w:tcBorders>
            <w:shd w:val="clear" w:color="auto" w:fill="auto"/>
            <w:vAlign w:val="center"/>
          </w:tcPr>
          <w:p w14:paraId="64CFE916">
            <w:pPr>
              <w:widowControl/>
              <w:spacing w:line="280" w:lineRule="exact"/>
              <w:jc w:val="left"/>
              <w:rPr>
                <w:rFonts w:hint="eastAsia" w:ascii="Times New Roman" w:hAnsi="Times New Roman"/>
                <w:sz w:val="24"/>
                <w:szCs w:val="24"/>
              </w:rPr>
            </w:pPr>
            <w:r>
              <w:rPr>
                <w:rFonts w:hint="eastAsia" w:ascii="Times New Roman" w:hAnsi="Times New Roman"/>
                <w:sz w:val="24"/>
                <w:szCs w:val="24"/>
                <w:lang w:val="en-US" w:eastAsia="zh-CN"/>
              </w:rPr>
              <w:t>宣威市第一人民医院龙堡院区医技楼3楼</w:t>
            </w:r>
          </w:p>
        </w:tc>
        <w:tc>
          <w:tcPr>
            <w:tcW w:w="1276" w:type="dxa"/>
            <w:tcBorders>
              <w:top w:val="single" w:color="auto" w:sz="4" w:space="0"/>
              <w:left w:val="nil"/>
              <w:bottom w:val="single" w:color="auto" w:sz="4" w:space="0"/>
              <w:right w:val="single" w:color="auto" w:sz="4" w:space="0"/>
            </w:tcBorders>
            <w:shd w:val="clear" w:color="auto" w:fill="C0C0C0"/>
            <w:vAlign w:val="center"/>
          </w:tcPr>
          <w:p w14:paraId="33D81271">
            <w:pPr>
              <w:widowControl/>
              <w:spacing w:line="280" w:lineRule="exact"/>
              <w:jc w:val="left"/>
              <w:rPr>
                <w:rFonts w:ascii="宋体"/>
                <w:kern w:val="0"/>
                <w:sz w:val="24"/>
                <w:szCs w:val="24"/>
              </w:rPr>
            </w:pPr>
            <w:r>
              <w:rPr>
                <w:rFonts w:hint="eastAsia" w:ascii="宋体" w:hAnsi="宋体"/>
                <w:kern w:val="0"/>
                <w:sz w:val="24"/>
                <w:szCs w:val="24"/>
              </w:rPr>
              <w:t>建设单位</w:t>
            </w:r>
          </w:p>
        </w:tc>
        <w:tc>
          <w:tcPr>
            <w:tcW w:w="1701" w:type="dxa"/>
            <w:tcBorders>
              <w:top w:val="single" w:color="auto" w:sz="4" w:space="0"/>
              <w:left w:val="nil"/>
              <w:bottom w:val="single" w:color="auto" w:sz="4" w:space="0"/>
              <w:right w:val="single" w:color="auto" w:sz="4" w:space="0"/>
            </w:tcBorders>
            <w:vAlign w:val="center"/>
          </w:tcPr>
          <w:p w14:paraId="60A4A28D">
            <w:pPr>
              <w:widowControl/>
              <w:spacing w:line="280" w:lineRule="exact"/>
              <w:jc w:val="center"/>
              <w:rPr>
                <w:rFonts w:hint="eastAsia" w:ascii="Times New Roman" w:hAnsi="Times New Roman"/>
                <w:sz w:val="24"/>
                <w:szCs w:val="24"/>
              </w:rPr>
            </w:pPr>
            <w:r>
              <w:rPr>
                <w:rFonts w:hint="eastAsia" w:ascii="Times New Roman" w:hAnsi="Times New Roman"/>
                <w:sz w:val="24"/>
                <w:szCs w:val="24"/>
                <w:lang w:val="en-US" w:eastAsia="zh-CN"/>
              </w:rPr>
              <w:t>宣威市第一人民医院</w:t>
            </w:r>
          </w:p>
        </w:tc>
      </w:tr>
      <w:tr w14:paraId="6E8E3E4C">
        <w:tblPrEx>
          <w:tblCellMar>
            <w:top w:w="0" w:type="dxa"/>
            <w:left w:w="108" w:type="dxa"/>
            <w:bottom w:w="0" w:type="dxa"/>
            <w:right w:w="108" w:type="dxa"/>
          </w:tblCellMar>
        </w:tblPrEx>
        <w:trPr>
          <w:trHeight w:val="762" w:hRule="atLeast"/>
        </w:trPr>
        <w:tc>
          <w:tcPr>
            <w:tcW w:w="1756" w:type="dxa"/>
            <w:tcBorders>
              <w:top w:val="nil"/>
              <w:left w:val="single" w:color="auto" w:sz="4" w:space="0"/>
              <w:bottom w:val="single" w:color="auto" w:sz="4" w:space="0"/>
              <w:right w:val="single" w:color="auto" w:sz="4" w:space="0"/>
            </w:tcBorders>
            <w:shd w:val="clear" w:color="auto" w:fill="C0C0C0"/>
            <w:vAlign w:val="center"/>
          </w:tcPr>
          <w:p w14:paraId="40714259">
            <w:pPr>
              <w:widowControl/>
              <w:spacing w:line="280" w:lineRule="exact"/>
              <w:jc w:val="left"/>
              <w:rPr>
                <w:rFonts w:ascii="宋体"/>
                <w:kern w:val="0"/>
                <w:sz w:val="24"/>
                <w:szCs w:val="24"/>
              </w:rPr>
            </w:pPr>
            <w:r>
              <w:rPr>
                <w:rFonts w:hint="eastAsia" w:ascii="宋体" w:hAnsi="宋体"/>
                <w:kern w:val="0"/>
                <w:sz w:val="24"/>
                <w:szCs w:val="24"/>
              </w:rPr>
              <w:t>环评文件类型</w:t>
            </w:r>
          </w:p>
        </w:tc>
        <w:tc>
          <w:tcPr>
            <w:tcW w:w="2246" w:type="dxa"/>
            <w:tcBorders>
              <w:top w:val="nil"/>
              <w:left w:val="nil"/>
              <w:bottom w:val="single" w:color="auto" w:sz="4" w:space="0"/>
              <w:right w:val="single" w:color="auto" w:sz="4" w:space="0"/>
            </w:tcBorders>
            <w:shd w:val="clear" w:color="auto" w:fill="auto"/>
            <w:vAlign w:val="center"/>
          </w:tcPr>
          <w:p w14:paraId="17254227">
            <w:pPr>
              <w:widowControl/>
              <w:spacing w:line="280" w:lineRule="exact"/>
              <w:jc w:val="center"/>
              <w:rPr>
                <w:rFonts w:hint="default" w:ascii="宋体" w:hAnsi="宋体" w:eastAsia="宋体" w:cs="华文仿宋"/>
                <w:kern w:val="0"/>
                <w:sz w:val="24"/>
                <w:szCs w:val="24"/>
                <w:lang w:val="en-US" w:eastAsia="zh-CN"/>
              </w:rPr>
            </w:pPr>
            <w:r>
              <w:rPr>
                <w:rFonts w:hint="eastAsia" w:ascii="Times New Roman" w:hAnsi="Times New Roman" w:cs="Times New Roman"/>
                <w:sz w:val="24"/>
                <w:szCs w:val="24"/>
                <w:lang w:val="en-US" w:eastAsia="zh-CN"/>
              </w:rPr>
              <w:t>报告表</w:t>
            </w:r>
          </w:p>
        </w:tc>
        <w:tc>
          <w:tcPr>
            <w:tcW w:w="1276" w:type="dxa"/>
            <w:tcBorders>
              <w:top w:val="nil"/>
              <w:left w:val="nil"/>
              <w:bottom w:val="single" w:color="auto" w:sz="4" w:space="0"/>
              <w:right w:val="single" w:color="auto" w:sz="4" w:space="0"/>
            </w:tcBorders>
            <w:shd w:val="clear" w:color="auto" w:fill="C0C0C0"/>
            <w:vAlign w:val="center"/>
          </w:tcPr>
          <w:p w14:paraId="34F3ECAA">
            <w:pPr>
              <w:widowControl/>
              <w:spacing w:line="280" w:lineRule="exact"/>
              <w:jc w:val="left"/>
              <w:rPr>
                <w:rFonts w:ascii="宋体"/>
                <w:kern w:val="0"/>
                <w:sz w:val="24"/>
                <w:szCs w:val="24"/>
              </w:rPr>
            </w:pPr>
            <w:r>
              <w:rPr>
                <w:rFonts w:hint="eastAsia" w:ascii="宋体" w:hAnsi="宋体"/>
                <w:kern w:val="0"/>
                <w:sz w:val="24"/>
                <w:szCs w:val="24"/>
              </w:rPr>
              <w:t>环境影响评价机构</w:t>
            </w:r>
          </w:p>
        </w:tc>
        <w:tc>
          <w:tcPr>
            <w:tcW w:w="4536" w:type="dxa"/>
            <w:gridSpan w:val="3"/>
            <w:tcBorders>
              <w:top w:val="single" w:color="auto" w:sz="4" w:space="0"/>
              <w:left w:val="nil"/>
              <w:bottom w:val="single" w:color="auto" w:sz="4" w:space="0"/>
              <w:right w:val="single" w:color="000000" w:sz="4" w:space="0"/>
            </w:tcBorders>
            <w:vAlign w:val="center"/>
          </w:tcPr>
          <w:p w14:paraId="0F52A4FD">
            <w:pPr>
              <w:widowControl/>
              <w:spacing w:line="280" w:lineRule="exact"/>
              <w:jc w:val="center"/>
              <w:rPr>
                <w:rFonts w:ascii="宋体"/>
                <w:kern w:val="0"/>
                <w:sz w:val="24"/>
                <w:szCs w:val="24"/>
              </w:rPr>
            </w:pPr>
            <w:r>
              <w:rPr>
                <w:rFonts w:hint="default" w:ascii="宋体"/>
                <w:kern w:val="0"/>
                <w:sz w:val="24"/>
                <w:szCs w:val="24"/>
                <w:lang w:val="en-US" w:eastAsia="zh-CN"/>
              </w:rPr>
              <w:t>云南卓淮检测技术有限公司</w:t>
            </w:r>
          </w:p>
        </w:tc>
      </w:tr>
      <w:tr w14:paraId="00B357AC">
        <w:tblPrEx>
          <w:tblCellMar>
            <w:top w:w="0" w:type="dxa"/>
            <w:left w:w="108" w:type="dxa"/>
            <w:bottom w:w="0" w:type="dxa"/>
            <w:right w:w="108" w:type="dxa"/>
          </w:tblCellMar>
        </w:tblPrEx>
        <w:trPr>
          <w:trHeight w:val="461" w:hRule="atLeast"/>
        </w:trPr>
        <w:tc>
          <w:tcPr>
            <w:tcW w:w="9814" w:type="dxa"/>
            <w:gridSpan w:val="6"/>
            <w:tcBorders>
              <w:top w:val="single" w:color="auto" w:sz="4" w:space="0"/>
              <w:left w:val="single" w:color="auto" w:sz="4" w:space="0"/>
              <w:bottom w:val="single" w:color="auto" w:sz="4" w:space="0"/>
              <w:right w:val="single" w:color="auto" w:sz="4" w:space="0"/>
            </w:tcBorders>
            <w:shd w:val="clear" w:color="auto" w:fill="C0C0C0"/>
            <w:vAlign w:val="center"/>
          </w:tcPr>
          <w:p w14:paraId="19EC53CC">
            <w:pPr>
              <w:widowControl/>
              <w:spacing w:line="280" w:lineRule="exact"/>
              <w:jc w:val="center"/>
              <w:rPr>
                <w:rFonts w:ascii="宋体"/>
                <w:kern w:val="0"/>
                <w:sz w:val="24"/>
                <w:szCs w:val="24"/>
              </w:rPr>
            </w:pPr>
            <w:r>
              <w:rPr>
                <w:rFonts w:hint="eastAsia" w:ascii="宋体" w:hAnsi="宋体"/>
                <w:kern w:val="0"/>
                <w:sz w:val="24"/>
                <w:szCs w:val="24"/>
              </w:rPr>
              <w:t>项目概况</w:t>
            </w:r>
          </w:p>
        </w:tc>
      </w:tr>
      <w:tr w14:paraId="6109E77F">
        <w:tblPrEx>
          <w:tblCellMar>
            <w:top w:w="0" w:type="dxa"/>
            <w:left w:w="108" w:type="dxa"/>
            <w:bottom w:w="0" w:type="dxa"/>
            <w:right w:w="108" w:type="dxa"/>
          </w:tblCellMar>
        </w:tblPrEx>
        <w:trPr>
          <w:trHeight w:val="606" w:hRule="atLeast"/>
        </w:trPr>
        <w:tc>
          <w:tcPr>
            <w:tcW w:w="9814" w:type="dxa"/>
            <w:gridSpan w:val="6"/>
            <w:tcBorders>
              <w:top w:val="single" w:color="auto" w:sz="4" w:space="0"/>
              <w:left w:val="single" w:color="auto" w:sz="4" w:space="0"/>
              <w:bottom w:val="single" w:color="auto" w:sz="4" w:space="0"/>
              <w:right w:val="single" w:color="auto" w:sz="4" w:space="0"/>
            </w:tcBorders>
            <w:vAlign w:val="center"/>
          </w:tcPr>
          <w:p w14:paraId="262BEC5B">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rPr>
            </w:pPr>
            <w:r>
              <w:rPr>
                <w:rFonts w:hint="eastAsia" w:ascii="Times New Roman" w:hAnsi="Times New Roman" w:cs="Times New Roman"/>
                <w:sz w:val="24"/>
                <w:szCs w:val="24"/>
                <w:lang w:val="en-US" w:eastAsia="zh-CN"/>
              </w:rPr>
              <w:t>宣威市第一人民医院龙堡院区拟新增1台移动式C形臂X射线机（型号：OEC One CFD），使用场所为医技楼3楼已有的第6手术间，移动式C形臂X射线机属于Ⅱ类射线装置，用于骨科、心内科手术使用，年手术总量为260台。</w:t>
            </w:r>
          </w:p>
        </w:tc>
      </w:tr>
      <w:tr w14:paraId="6B7B3C4C">
        <w:tblPrEx>
          <w:tblCellMar>
            <w:top w:w="0" w:type="dxa"/>
            <w:left w:w="108" w:type="dxa"/>
            <w:bottom w:w="0" w:type="dxa"/>
            <w:right w:w="108" w:type="dxa"/>
          </w:tblCellMar>
        </w:tblPrEx>
        <w:trPr>
          <w:trHeight w:val="448" w:hRule="atLeast"/>
        </w:trPr>
        <w:tc>
          <w:tcPr>
            <w:tcW w:w="9814" w:type="dxa"/>
            <w:gridSpan w:val="6"/>
            <w:tcBorders>
              <w:top w:val="single" w:color="auto" w:sz="4" w:space="0"/>
              <w:left w:val="single" w:color="auto" w:sz="4" w:space="0"/>
              <w:bottom w:val="single" w:color="auto" w:sz="4" w:space="0"/>
              <w:right w:val="single" w:color="auto" w:sz="4" w:space="0"/>
            </w:tcBorders>
            <w:shd w:val="clear" w:color="auto" w:fill="C0C0C0"/>
            <w:vAlign w:val="center"/>
          </w:tcPr>
          <w:p w14:paraId="106E22F0">
            <w:pPr>
              <w:widowControl/>
              <w:spacing w:line="280" w:lineRule="exact"/>
              <w:jc w:val="center"/>
              <w:rPr>
                <w:rFonts w:ascii="宋体"/>
                <w:kern w:val="0"/>
                <w:sz w:val="24"/>
                <w:szCs w:val="24"/>
              </w:rPr>
            </w:pPr>
            <w:r>
              <w:rPr>
                <w:rFonts w:hint="eastAsia" w:ascii="宋体" w:hAnsi="宋体"/>
                <w:kern w:val="0"/>
                <w:sz w:val="24"/>
                <w:szCs w:val="24"/>
              </w:rPr>
              <w:t>项目主要环境影响</w:t>
            </w:r>
          </w:p>
        </w:tc>
      </w:tr>
      <w:tr w14:paraId="2C7D927D">
        <w:tblPrEx>
          <w:tblCellMar>
            <w:top w:w="0" w:type="dxa"/>
            <w:left w:w="108" w:type="dxa"/>
            <w:bottom w:w="0" w:type="dxa"/>
            <w:right w:w="108" w:type="dxa"/>
          </w:tblCellMar>
        </w:tblPrEx>
        <w:trPr>
          <w:trHeight w:val="535" w:hRule="atLeast"/>
        </w:trPr>
        <w:tc>
          <w:tcPr>
            <w:tcW w:w="9814" w:type="dxa"/>
            <w:gridSpan w:val="6"/>
            <w:tcBorders>
              <w:top w:val="single" w:color="auto" w:sz="4" w:space="0"/>
              <w:left w:val="single" w:color="auto" w:sz="4" w:space="0"/>
              <w:bottom w:val="single" w:color="auto" w:sz="4" w:space="0"/>
              <w:right w:val="single" w:color="auto" w:sz="4" w:space="0"/>
            </w:tcBorders>
            <w:vAlign w:val="center"/>
          </w:tcPr>
          <w:p w14:paraId="0E32980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一、施工期</w:t>
            </w:r>
          </w:p>
          <w:p w14:paraId="534CF416">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本项目施工内容为手术间观察窗开孔、辅助用房装修及手术间部分屏蔽防护装修施工、设备安装及调试，主要污染物有施工粉尘、废水、噪声、装修废气、建筑垃圾、生活垃圾、少量电离辐射和臭氧。</w:t>
            </w:r>
          </w:p>
          <w:p w14:paraId="7443B87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二、运营期</w:t>
            </w:r>
          </w:p>
          <w:p w14:paraId="6FF983D7">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（1）X射线：X射线装置只有在开机并处于出束状态时才会发出X射线。在开机出束时，有用束和漏射、散射的X射线对周围环境造成辐射污染。X射线随设备的开机而产生，关机而消失。</w:t>
            </w:r>
          </w:p>
          <w:p w14:paraId="6F27E340">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（2）废气（臭氧、氮氧化物）：在X射线装置开机及曝光过程中，X射线穿过空气会导致空气中的O</w:t>
            </w:r>
            <w:r>
              <w:rPr>
                <w:rFonts w:hint="eastAsia" w:ascii="Times New Roman" w:hAnsi="Times New Roman" w:cs="Times New Roman"/>
                <w:sz w:val="24"/>
                <w:szCs w:val="24"/>
                <w:vertAlign w:val="subscript"/>
                <w:lang w:val="en-US" w:eastAsia="zh-CN"/>
              </w:rPr>
              <w:t>2</w:t>
            </w:r>
            <w:r>
              <w:rPr>
                <w:rFonts w:hint="eastAsia" w:ascii="Times New Roman" w:hAnsi="Times New Roman" w:cs="Times New Roman"/>
                <w:sz w:val="24"/>
                <w:szCs w:val="24"/>
                <w:lang w:val="en-US" w:eastAsia="zh-CN"/>
              </w:rPr>
              <w:t>、N</w:t>
            </w:r>
            <w:r>
              <w:rPr>
                <w:rFonts w:hint="eastAsia" w:ascii="Times New Roman" w:hAnsi="Times New Roman" w:cs="Times New Roman"/>
                <w:sz w:val="24"/>
                <w:szCs w:val="24"/>
                <w:vertAlign w:val="subscript"/>
                <w:lang w:val="en-US" w:eastAsia="zh-CN"/>
              </w:rPr>
              <w:t>2</w:t>
            </w:r>
            <w:r>
              <w:rPr>
                <w:rFonts w:hint="eastAsia" w:ascii="Times New Roman" w:hAnsi="Times New Roman" w:cs="Times New Roman"/>
                <w:sz w:val="24"/>
                <w:szCs w:val="24"/>
                <w:lang w:val="en-US" w:eastAsia="zh-CN"/>
              </w:rPr>
              <w:t>发生一系列化学反应，产生臭氧和氮氧化物。</w:t>
            </w:r>
          </w:p>
          <w:p w14:paraId="58FCC752">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（3）废水：本项目移动式C形臂X射线机采用数字成像，不使用显影液和定影液，无洗片过程，无废显、定影液产生。医务人员工作时产生少量的生活废水，介入手术、清洗器械产生少量医疗废水。</w:t>
            </w:r>
          </w:p>
          <w:p w14:paraId="69F033DF">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（4）噪声：术间通排风系统设置独立净化空调机组，通排风系统运行时会产生噪声，排气风机选用低噪音类型设备，排风、新风（送风）管道上设置有消音器，外机支架上面使用减振器处理。</w:t>
            </w:r>
          </w:p>
          <w:p w14:paraId="0D9A3804">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rPr>
            </w:pPr>
            <w:r>
              <w:rPr>
                <w:rFonts w:hint="eastAsia" w:ascii="Times New Roman" w:hAnsi="Times New Roman" w:cs="Times New Roman"/>
                <w:sz w:val="24"/>
                <w:szCs w:val="24"/>
                <w:lang w:val="en-US" w:eastAsia="zh-CN"/>
              </w:rPr>
              <w:t>（5）固体废物：本项目移动式C形臂X射线机采用数字成像，不打印胶片，会根据病人的需要刻录光盘，光盘由病人带走并自行处理，无废胶片产生；介入手术时会产生少量纱布、手套等医疗废物；医护人员在工作中会产生少量生活垃圾。</w:t>
            </w:r>
          </w:p>
        </w:tc>
      </w:tr>
      <w:tr w14:paraId="1FEE31B3">
        <w:tblPrEx>
          <w:tblCellMar>
            <w:top w:w="0" w:type="dxa"/>
            <w:left w:w="108" w:type="dxa"/>
            <w:bottom w:w="0" w:type="dxa"/>
            <w:right w:w="108" w:type="dxa"/>
          </w:tblCellMar>
        </w:tblPrEx>
        <w:trPr>
          <w:trHeight w:val="381" w:hRule="atLeast"/>
        </w:trPr>
        <w:tc>
          <w:tcPr>
            <w:tcW w:w="9814" w:type="dxa"/>
            <w:gridSpan w:val="6"/>
            <w:tcBorders>
              <w:top w:val="single" w:color="auto" w:sz="4" w:space="0"/>
              <w:left w:val="single" w:color="auto" w:sz="4" w:space="0"/>
              <w:bottom w:val="single" w:color="auto" w:sz="4" w:space="0"/>
              <w:right w:val="single" w:color="auto" w:sz="4" w:space="0"/>
            </w:tcBorders>
            <w:shd w:val="clear" w:color="auto" w:fill="C0C0C0"/>
            <w:vAlign w:val="center"/>
          </w:tcPr>
          <w:p w14:paraId="496EFF34">
            <w:pPr>
              <w:widowControl/>
              <w:spacing w:line="280" w:lineRule="exact"/>
              <w:jc w:val="center"/>
              <w:rPr>
                <w:rFonts w:ascii="宋体"/>
                <w:kern w:val="0"/>
                <w:sz w:val="24"/>
                <w:szCs w:val="24"/>
              </w:rPr>
            </w:pPr>
            <w:r>
              <w:rPr>
                <w:rFonts w:hint="eastAsia" w:ascii="宋体" w:hAnsi="宋体"/>
                <w:kern w:val="0"/>
                <w:sz w:val="24"/>
                <w:szCs w:val="24"/>
              </w:rPr>
              <w:t>项目预防及减轻不良环境影响的对策和措施</w:t>
            </w:r>
          </w:p>
        </w:tc>
      </w:tr>
      <w:tr w14:paraId="7EF1147F">
        <w:tblPrEx>
          <w:tblCellMar>
            <w:top w:w="0" w:type="dxa"/>
            <w:left w:w="108" w:type="dxa"/>
            <w:bottom w:w="0" w:type="dxa"/>
            <w:right w:w="108" w:type="dxa"/>
          </w:tblCellMar>
        </w:tblPrEx>
        <w:trPr>
          <w:trHeight w:val="437" w:hRule="atLeast"/>
        </w:trPr>
        <w:tc>
          <w:tcPr>
            <w:tcW w:w="9814" w:type="dxa"/>
            <w:gridSpan w:val="6"/>
            <w:tcBorders>
              <w:top w:val="single" w:color="auto" w:sz="4" w:space="0"/>
              <w:left w:val="single" w:color="auto" w:sz="4" w:space="0"/>
              <w:bottom w:val="single" w:color="auto" w:sz="4" w:space="0"/>
              <w:right w:val="single" w:color="auto" w:sz="4" w:space="0"/>
            </w:tcBorders>
            <w:vAlign w:val="center"/>
          </w:tcPr>
          <w:p w14:paraId="28038E9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一、辐射影响对策和措施</w:t>
            </w:r>
          </w:p>
          <w:p w14:paraId="60B1D887">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1、工作区域管理</w:t>
            </w:r>
          </w:p>
          <w:p w14:paraId="7E9842EC">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为了便于加强管理，切实做好辐射安全防范工作，按《电离辐射防护与辐射源安全基本标准》（GB18871-2002），辐射工作场所分为控制区和监督区，以便于辐射防护管理和职业照射控制。控制区内禁止外来人员进入，职业工作人员在进行日常工作时尽量不要在控制区内停留，以减少不必要的照射。监督区范围内应限制无关人员进入。</w:t>
            </w:r>
          </w:p>
          <w:p w14:paraId="0C1DBA50">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2、辐射安全及防护措施</w:t>
            </w:r>
          </w:p>
          <w:p w14:paraId="2CE5F8CB">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（1）设备固有措施</w:t>
            </w:r>
          </w:p>
          <w:p w14:paraId="3F9563F8">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①本建设项目移动式C形臂X射线机装有可调限束装置，使装置发射的线束宽度尽量减小，以减少泄漏辐射。</w:t>
            </w:r>
          </w:p>
          <w:p w14:paraId="2659F363">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②采用栅控技术：在每次脉冲曝光间隔向旋转阳极加一负电压，抵消曝光脉冲的启辉与余辉，起到消除软X射线、提高有用射线品质并减小脉冲宽度作用。</w:t>
            </w:r>
          </w:p>
          <w:p w14:paraId="61601661">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③配备相应的表征剂量的指示装置：移动式C形臂X射线机已配备有能在线监测表征输出剂量的指示装置。</w:t>
            </w:r>
          </w:p>
          <w:p w14:paraId="7FFC560D">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④采用脉冲透视技术：在透视图像数字化基础上实现脉冲透视，改善图像清晰度；并能明显地减少透视剂量。</w:t>
            </w:r>
          </w:p>
          <w:p w14:paraId="05D5FE4B">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（2）场所设计安全措施</w:t>
            </w:r>
          </w:p>
          <w:p w14:paraId="0E5FCEC4">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color w:val="auto"/>
                <w:sz w:val="24"/>
                <w:highlight w:val="none"/>
                <w:lang w:val="en-US" w:eastAsia="zh-CN"/>
              </w:rPr>
              <w:t>本项目</w:t>
            </w:r>
            <w:r>
              <w:rPr>
                <w:rFonts w:hint="eastAsia" w:cs="Times New Roman"/>
                <w:caps w:val="0"/>
                <w:color w:val="auto"/>
                <w:sz w:val="24"/>
                <w:szCs w:val="24"/>
                <w:lang w:val="en-US" w:eastAsia="zh-CN"/>
              </w:rPr>
              <w:t>第6手术间</w:t>
            </w:r>
            <w:r>
              <w:rPr>
                <w:rFonts w:hint="default" w:ascii="Times New Roman" w:hAnsi="Times New Roman" w:cs="Times New Roman"/>
                <w:caps w:val="0"/>
                <w:color w:val="auto"/>
                <w:sz w:val="24"/>
                <w:szCs w:val="24"/>
                <w:lang w:val="en-US" w:eastAsia="zh-CN"/>
              </w:rPr>
              <w:t>在做完墙体、装修和防护措施后面积为</w:t>
            </w:r>
            <w:r>
              <w:rPr>
                <w:rFonts w:hint="eastAsia" w:cs="Times New Roman"/>
                <w:caps w:val="0"/>
                <w:color w:val="auto"/>
                <w:sz w:val="24"/>
                <w:szCs w:val="24"/>
                <w:lang w:val="en-US" w:eastAsia="zh-CN"/>
              </w:rPr>
              <w:t>40</w:t>
            </w:r>
            <w:r>
              <w:rPr>
                <w:rFonts w:hint="default" w:ascii="Times New Roman" w:hAnsi="Times New Roman" w:cs="Times New Roman"/>
                <w:caps w:val="0"/>
                <w:color w:val="auto"/>
                <w:sz w:val="24"/>
                <w:szCs w:val="24"/>
                <w:lang w:val="en-US" w:eastAsia="zh-CN"/>
              </w:rPr>
              <w:t>m</w:t>
            </w:r>
            <w:r>
              <w:rPr>
                <w:rFonts w:hint="default" w:ascii="Times New Roman" w:hAnsi="Times New Roman" w:cs="Times New Roman"/>
                <w:caps w:val="0"/>
                <w:color w:val="auto"/>
                <w:sz w:val="24"/>
                <w:szCs w:val="24"/>
                <w:vertAlign w:val="superscript"/>
                <w:lang w:val="en-US" w:eastAsia="zh-CN"/>
              </w:rPr>
              <w:t>2</w:t>
            </w:r>
            <w:r>
              <w:rPr>
                <w:rFonts w:hint="default" w:ascii="Times New Roman" w:hAnsi="Times New Roman" w:cs="Times New Roman"/>
                <w:caps w:val="0"/>
                <w:color w:val="auto"/>
                <w:sz w:val="24"/>
                <w:szCs w:val="24"/>
                <w:lang w:val="en-US" w:eastAsia="zh-CN"/>
              </w:rPr>
              <w:t>，最小单边长度为</w:t>
            </w:r>
            <w:r>
              <w:rPr>
                <w:rFonts w:hint="eastAsia" w:cs="Times New Roman"/>
                <w:caps w:val="0"/>
                <w:color w:val="auto"/>
                <w:sz w:val="24"/>
                <w:szCs w:val="24"/>
                <w:lang w:val="en-US" w:eastAsia="zh-CN"/>
              </w:rPr>
              <w:t>5m</w:t>
            </w:r>
            <w:r>
              <w:rPr>
                <w:rFonts w:hint="default" w:ascii="Times New Roman" w:hAnsi="Times New Roman" w:cs="Times New Roman"/>
                <w:color w:val="auto"/>
                <w:sz w:val="24"/>
                <w:szCs w:val="24"/>
                <w:highlight w:val="none"/>
              </w:rPr>
              <w:t>，满足《放射诊断放射防护要求》（GBZ130—2020）中规定“单管头X射线机机房内最小有效使用面积20m</w:t>
            </w:r>
            <w:r>
              <w:rPr>
                <w:rFonts w:hint="default" w:ascii="Times New Roman" w:hAnsi="Times New Roman" w:cs="Times New Roman"/>
                <w:color w:val="auto"/>
                <w:sz w:val="24"/>
                <w:szCs w:val="24"/>
                <w:highlight w:val="none"/>
                <w:vertAlign w:val="superscript"/>
              </w:rPr>
              <w:t>2</w:t>
            </w:r>
            <w:r>
              <w:rPr>
                <w:rFonts w:hint="default" w:ascii="Times New Roman" w:hAnsi="Times New Roman" w:cs="Times New Roman"/>
                <w:color w:val="auto"/>
                <w:sz w:val="24"/>
                <w:szCs w:val="24"/>
                <w:highlight w:val="none"/>
              </w:rPr>
              <w:t>，机房内最小单边长度3.5m</w:t>
            </w:r>
            <w:r>
              <w:rPr>
                <w:rFonts w:hint="default" w:cs="Times New Roman"/>
                <w:color w:val="auto"/>
                <w:sz w:val="24"/>
                <w:szCs w:val="24"/>
                <w:highlight w:val="none"/>
                <w:lang w:val="en-US" w:eastAsia="zh-CN"/>
              </w:rPr>
              <w:t>”</w:t>
            </w:r>
            <w:r>
              <w:rPr>
                <w:rFonts w:hint="default" w:ascii="Times New Roman" w:hAnsi="Times New Roman" w:cs="Times New Roman"/>
                <w:color w:val="auto"/>
                <w:sz w:val="24"/>
                <w:szCs w:val="24"/>
                <w:highlight w:val="none"/>
              </w:rPr>
              <w:t>的要求。</w:t>
            </w:r>
            <w:r>
              <w:rPr>
                <w:rFonts w:hint="default" w:ascii="Times New Roman" w:hAnsi="Times New Roman" w:cs="Times New Roman"/>
                <w:caps w:val="0"/>
                <w:color w:val="auto"/>
                <w:kern w:val="0"/>
                <w:sz w:val="24"/>
                <w:szCs w:val="24"/>
                <w:lang w:val="en-US" w:bidi="ar"/>
              </w:rPr>
              <w:t>移动式C形臂X射线机</w:t>
            </w:r>
            <w:r>
              <w:rPr>
                <w:rFonts w:hint="default" w:ascii="Times New Roman" w:hAnsi="Times New Roman" w:cs="Times New Roman"/>
                <w:color w:val="auto"/>
                <w:sz w:val="24"/>
                <w:szCs w:val="24"/>
                <w:highlight w:val="none"/>
              </w:rPr>
              <w:t>机房防护铅当量均满足《放射诊断放射防护要求》（GBZ130—2020）中规定的“有用线束方向铅当量2mm，非有用线束方向铅当量2mm”的要求</w:t>
            </w:r>
            <w:r>
              <w:rPr>
                <w:rFonts w:hint="eastAsia" w:ascii="Times New Roman" w:hAnsi="Times New Roman" w:cs="Times New Roman"/>
                <w:sz w:val="24"/>
                <w:szCs w:val="24"/>
                <w:lang w:val="en-US" w:eastAsia="zh-CN"/>
              </w:rPr>
              <w:t>。</w:t>
            </w:r>
          </w:p>
          <w:p w14:paraId="312F1CC5">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（3）紧急停机按钮</w:t>
            </w:r>
          </w:p>
          <w:p w14:paraId="34701E6F">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射线装置操作面板上及设备上各设置1个紧急停机按钮，移动式C形臂X射线机的X线管出束过程中，一旦出现异常，按动紧急停止按钮，可停止出束。</w:t>
            </w:r>
          </w:p>
          <w:p w14:paraId="3C152251">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（4）门灯联锁装置、电离辐射警示标志</w:t>
            </w:r>
          </w:p>
          <w:p w14:paraId="7557A5C1">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移动式C形臂X射线机机房入口屏蔽门中部、设置“当心电离辐射”警示标志，警示人们注意可能发生的危险。污物通道门中部设置“当心电离辐射”警示标志上方设置醒目的工作状态指示灯，灯箱上设置如“射线有害、灯亮勿入”的可视警示语句，同时，工作状态指示灯能与机房门有效关联。当机房门开启时，警示灯熄灭，机房门关闭时，警示灯开启。</w:t>
            </w:r>
          </w:p>
          <w:p w14:paraId="2ECD363F">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（5）个人防护用品、监测仪器</w:t>
            </w:r>
          </w:p>
          <w:p w14:paraId="58383A74">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本项目为辐射工作人员配备铅衣、铅围脖、铅眼镜、铅围裙、铅帽等个人防护用品各4套，为受检者配备围裙或方巾2套、颈套2套，铅橡胶帽子2个。</w:t>
            </w:r>
          </w:p>
          <w:p w14:paraId="68E8195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二、“三废”的治理</w:t>
            </w:r>
          </w:p>
          <w:p w14:paraId="45E246BC">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1、废气治理措施</w:t>
            </w:r>
          </w:p>
          <w:p w14:paraId="40EECCCB">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本项目移动式C形臂X射线机在曝光过程中产生的臭氧、氮氧化物量很小，本项目手术间内设置通排风系统，曝光过程中产生的废气经排风系统排至室外自然稀释对大气环境影响不大。</w:t>
            </w:r>
          </w:p>
          <w:p w14:paraId="077023ED">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2、废水治理措施</w:t>
            </w:r>
          </w:p>
          <w:p w14:paraId="3940F700">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本项目医务人员工作时产生少量的生活污水，介入手术、清洗器械产生少量医疗废水，依托医院污水处理站处理达标后排入市政管网，最终进入宣威市污水处理厂处理，对周边水环境影响较小。</w:t>
            </w:r>
          </w:p>
          <w:p w14:paraId="23CB9A30">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3、固体废弃物治理措施</w:t>
            </w:r>
          </w:p>
          <w:p w14:paraId="55E6C149">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项目生活垃圾经医院垃圾桶收集后，依托医院环卫部门统一清运；手术过程中产生的医疗废物采用专门的收集容器收集后，转移至医院医疗废物暂存间，委托宣威蓝宇环保科技有限公司进行定期清运处置。固体废物对周边环境影响较小。</w:t>
            </w:r>
          </w:p>
          <w:p w14:paraId="7C14CBF1">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4、噪声治理措施</w:t>
            </w:r>
          </w:p>
          <w:p w14:paraId="0A37866C">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pPr>
            <w:r>
              <w:rPr>
                <w:rFonts w:hint="eastAsia" w:ascii="Times New Roman" w:hAnsi="Times New Roman" w:cs="Times New Roman"/>
                <w:sz w:val="24"/>
                <w:szCs w:val="24"/>
                <w:lang w:val="en-US" w:eastAsia="zh-CN"/>
              </w:rPr>
              <w:t>本项目排气风机选用低噪音类型设备，排风、新风（送风）管道上设置有消音器，外机支架上面使用减振器降噪处理，通过降噪措施降噪后，经过墙体阻隔和距离衰减后，对周围环境影响不大。</w:t>
            </w:r>
          </w:p>
        </w:tc>
      </w:tr>
      <w:tr w14:paraId="2A67B455">
        <w:tblPrEx>
          <w:tblCellMar>
            <w:top w:w="0" w:type="dxa"/>
            <w:left w:w="108" w:type="dxa"/>
            <w:bottom w:w="0" w:type="dxa"/>
            <w:right w:w="108" w:type="dxa"/>
          </w:tblCellMar>
        </w:tblPrEx>
        <w:trPr>
          <w:trHeight w:val="386" w:hRule="atLeast"/>
        </w:trPr>
        <w:tc>
          <w:tcPr>
            <w:tcW w:w="9814" w:type="dxa"/>
            <w:gridSpan w:val="6"/>
            <w:tcBorders>
              <w:top w:val="single" w:color="auto" w:sz="4" w:space="0"/>
              <w:left w:val="single" w:color="auto" w:sz="4" w:space="0"/>
              <w:bottom w:val="single" w:color="auto" w:sz="4" w:space="0"/>
              <w:right w:val="single" w:color="auto" w:sz="4" w:space="0"/>
            </w:tcBorders>
            <w:shd w:val="clear" w:color="auto" w:fill="C0C0C0"/>
            <w:vAlign w:val="center"/>
          </w:tcPr>
          <w:p w14:paraId="6EAB9AF0">
            <w:pPr>
              <w:widowControl/>
              <w:spacing w:line="280" w:lineRule="exact"/>
              <w:jc w:val="center"/>
              <w:rPr>
                <w:rFonts w:ascii="宋体"/>
                <w:kern w:val="0"/>
                <w:sz w:val="24"/>
                <w:szCs w:val="24"/>
              </w:rPr>
            </w:pPr>
            <w:r>
              <w:rPr>
                <w:rFonts w:hint="eastAsia" w:ascii="宋体" w:hAnsi="宋体"/>
                <w:kern w:val="0"/>
                <w:sz w:val="24"/>
                <w:szCs w:val="24"/>
              </w:rPr>
              <w:t>公众参与情况</w:t>
            </w:r>
          </w:p>
        </w:tc>
      </w:tr>
      <w:tr w14:paraId="4B96B6FA">
        <w:tblPrEx>
          <w:tblCellMar>
            <w:top w:w="0" w:type="dxa"/>
            <w:left w:w="108" w:type="dxa"/>
            <w:bottom w:w="0" w:type="dxa"/>
            <w:right w:w="108" w:type="dxa"/>
          </w:tblCellMar>
        </w:tblPrEx>
        <w:trPr>
          <w:trHeight w:val="743" w:hRule="atLeast"/>
        </w:trPr>
        <w:tc>
          <w:tcPr>
            <w:tcW w:w="9814" w:type="dxa"/>
            <w:gridSpan w:val="6"/>
            <w:tcBorders>
              <w:top w:val="single" w:color="auto" w:sz="4" w:space="0"/>
              <w:left w:val="single" w:color="auto" w:sz="4" w:space="0"/>
              <w:bottom w:val="single" w:color="auto" w:sz="4" w:space="0"/>
              <w:right w:val="single" w:color="auto" w:sz="4" w:space="0"/>
            </w:tcBorders>
            <w:vAlign w:val="center"/>
          </w:tcPr>
          <w:p w14:paraId="77AF6CD8">
            <w:pPr>
              <w:pStyle w:val="7"/>
              <w:ind w:firstLine="480" w:firstLineChars="200"/>
            </w:pPr>
            <w:r>
              <w:rPr>
                <w:rFonts w:hint="eastAsia" w:ascii="Times New Roman" w:hAnsi="Times New Roman" w:eastAsia="方正仿宋_GBK" w:cs="Times New Roman"/>
                <w:snapToGrid/>
                <w:kern w:val="32"/>
                <w:sz w:val="24"/>
                <w:szCs w:val="24"/>
                <w:lang w:val="en-US" w:eastAsia="zh-CN" w:bidi="ar-SA"/>
              </w:rPr>
              <w:t>无。</w:t>
            </w:r>
          </w:p>
        </w:tc>
      </w:tr>
      <w:tr w14:paraId="72158347">
        <w:tblPrEx>
          <w:tblCellMar>
            <w:top w:w="0" w:type="dxa"/>
            <w:left w:w="108" w:type="dxa"/>
            <w:bottom w:w="0" w:type="dxa"/>
            <w:right w:w="108" w:type="dxa"/>
          </w:tblCellMar>
        </w:tblPrEx>
        <w:trPr>
          <w:trHeight w:val="429" w:hRule="atLeast"/>
        </w:trPr>
        <w:tc>
          <w:tcPr>
            <w:tcW w:w="4002" w:type="dxa"/>
            <w:gridSpan w:val="2"/>
            <w:tcBorders>
              <w:top w:val="single" w:color="auto" w:sz="4" w:space="0"/>
              <w:left w:val="single" w:color="auto" w:sz="4" w:space="0"/>
              <w:bottom w:val="single" w:color="auto" w:sz="4" w:space="0"/>
              <w:right w:val="single" w:color="auto" w:sz="4" w:space="0"/>
            </w:tcBorders>
            <w:shd w:val="clear" w:color="auto" w:fill="C0C0C0"/>
            <w:vAlign w:val="center"/>
          </w:tcPr>
          <w:p w14:paraId="2A329818">
            <w:pPr>
              <w:widowControl/>
              <w:spacing w:line="280" w:lineRule="exact"/>
              <w:jc w:val="left"/>
              <w:rPr>
                <w:rFonts w:ascii="宋体"/>
                <w:kern w:val="0"/>
                <w:sz w:val="24"/>
                <w:szCs w:val="24"/>
              </w:rPr>
            </w:pPr>
            <w:r>
              <w:rPr>
                <w:rFonts w:hint="eastAsia" w:ascii="宋体" w:hAnsi="宋体"/>
                <w:kern w:val="0"/>
                <w:sz w:val="24"/>
                <w:szCs w:val="24"/>
              </w:rPr>
              <w:t>建设单位或地方政府所作出的相关承诺文件</w:t>
            </w:r>
          </w:p>
        </w:tc>
        <w:tc>
          <w:tcPr>
            <w:tcW w:w="5812" w:type="dxa"/>
            <w:gridSpan w:val="4"/>
            <w:tcBorders>
              <w:top w:val="single" w:color="auto" w:sz="4" w:space="0"/>
              <w:left w:val="nil"/>
              <w:bottom w:val="single" w:color="auto" w:sz="4" w:space="0"/>
              <w:right w:val="single" w:color="auto" w:sz="4" w:space="0"/>
            </w:tcBorders>
            <w:vAlign w:val="center"/>
          </w:tcPr>
          <w:p w14:paraId="63815C6D">
            <w:pPr>
              <w:pStyle w:val="7"/>
              <w:ind w:firstLine="480" w:firstLineChars="200"/>
              <w:rPr>
                <w:rFonts w:hint="eastAsia" w:eastAsia="方正仿宋_GBK"/>
                <w:lang w:eastAsia="zh-CN"/>
              </w:rPr>
            </w:pPr>
            <w:r>
              <w:rPr>
                <w:rFonts w:hint="eastAsia" w:ascii="Times New Roman" w:hAnsi="Times New Roman" w:eastAsia="方正仿宋_GBK" w:cs="Times New Roman"/>
                <w:snapToGrid/>
                <w:kern w:val="32"/>
                <w:sz w:val="24"/>
                <w:szCs w:val="24"/>
                <w:lang w:val="en-US" w:eastAsia="zh-CN" w:bidi="ar-SA"/>
              </w:rPr>
              <w:t>信息公开同意函</w:t>
            </w:r>
            <w:r>
              <w:rPr>
                <w:rFonts w:hint="eastAsia" w:ascii="Times New Roman" w:hAnsi="Times New Roman" w:cs="Times New Roman"/>
                <w:snapToGrid/>
                <w:kern w:val="32"/>
                <w:sz w:val="24"/>
                <w:szCs w:val="24"/>
                <w:lang w:val="en-US" w:eastAsia="zh-CN" w:bidi="ar-SA"/>
              </w:rPr>
              <w:t>。</w:t>
            </w:r>
          </w:p>
        </w:tc>
      </w:tr>
      <w:tr w14:paraId="179B880C">
        <w:tblPrEx>
          <w:tblCellMar>
            <w:top w:w="0" w:type="dxa"/>
            <w:left w:w="108" w:type="dxa"/>
            <w:bottom w:w="0" w:type="dxa"/>
            <w:right w:w="108" w:type="dxa"/>
          </w:tblCellMar>
        </w:tblPrEx>
        <w:trPr>
          <w:trHeight w:val="570" w:hRule="atLeast"/>
        </w:trPr>
        <w:tc>
          <w:tcPr>
            <w:tcW w:w="9814" w:type="dxa"/>
            <w:gridSpan w:val="6"/>
            <w:tcBorders>
              <w:top w:val="single" w:color="auto" w:sz="4" w:space="0"/>
              <w:left w:val="nil"/>
              <w:bottom w:val="nil"/>
              <w:right w:val="nil"/>
            </w:tcBorders>
            <w:vAlign w:val="center"/>
          </w:tcPr>
          <w:p w14:paraId="52D2D4B1">
            <w:pPr>
              <w:widowControl/>
              <w:spacing w:line="280" w:lineRule="exact"/>
              <w:jc w:val="left"/>
              <w:rPr>
                <w:rFonts w:ascii="宋体"/>
                <w:kern w:val="0"/>
                <w:sz w:val="24"/>
                <w:szCs w:val="24"/>
              </w:rPr>
            </w:pPr>
            <w:r>
              <w:rPr>
                <w:rFonts w:hint="eastAsia" w:ascii="宋体" w:hAnsi="宋体"/>
                <w:kern w:val="0"/>
                <w:sz w:val="24"/>
                <w:szCs w:val="24"/>
              </w:rPr>
              <w:t>注:项目概况、项目主要环境影响、项目预防及减轻不良环境影响的对策和措施、公众参与情况、建设单位或地方政府所作出的相关承诺文件部分由建设单位填写。公众反馈意见联系方式部分由行政审批机关填写。</w:t>
            </w:r>
          </w:p>
        </w:tc>
      </w:tr>
    </w:tbl>
    <w:p w14:paraId="466A688C">
      <w:pPr>
        <w:rPr>
          <w:color w:val="FF0000"/>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Arial Unicode MS"/>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小标宋_GBK">
    <w:altName w:val="Arial Unicode MS"/>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KSOF51D5AD36">
    <w:panose1 w:val="020B0604020202020204"/>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iYzQ1NDY1YjQ0MjBjMWNmZDQyYjE1NzJjMWYwMDcifQ=="/>
  </w:docVars>
  <w:rsids>
    <w:rsidRoot w:val="392E2078"/>
    <w:rsid w:val="0007389C"/>
    <w:rsid w:val="00150BE9"/>
    <w:rsid w:val="00156B39"/>
    <w:rsid w:val="001A0782"/>
    <w:rsid w:val="001A6B62"/>
    <w:rsid w:val="001B3A2B"/>
    <w:rsid w:val="001F034E"/>
    <w:rsid w:val="001F679B"/>
    <w:rsid w:val="00294DBA"/>
    <w:rsid w:val="002B6C2D"/>
    <w:rsid w:val="002C62B4"/>
    <w:rsid w:val="00322D57"/>
    <w:rsid w:val="00327286"/>
    <w:rsid w:val="00330F90"/>
    <w:rsid w:val="00335349"/>
    <w:rsid w:val="003C1AD7"/>
    <w:rsid w:val="003C4CF8"/>
    <w:rsid w:val="003C6F96"/>
    <w:rsid w:val="003E6693"/>
    <w:rsid w:val="00473C47"/>
    <w:rsid w:val="00485878"/>
    <w:rsid w:val="004A6061"/>
    <w:rsid w:val="004D701F"/>
    <w:rsid w:val="004E159E"/>
    <w:rsid w:val="005010C4"/>
    <w:rsid w:val="005107E1"/>
    <w:rsid w:val="005370B8"/>
    <w:rsid w:val="00542698"/>
    <w:rsid w:val="005A0DCF"/>
    <w:rsid w:val="005B283A"/>
    <w:rsid w:val="0060088D"/>
    <w:rsid w:val="0061485D"/>
    <w:rsid w:val="0062265A"/>
    <w:rsid w:val="006C6412"/>
    <w:rsid w:val="006D5270"/>
    <w:rsid w:val="006E4B40"/>
    <w:rsid w:val="006E5771"/>
    <w:rsid w:val="00702618"/>
    <w:rsid w:val="00705F2D"/>
    <w:rsid w:val="00773626"/>
    <w:rsid w:val="007A0516"/>
    <w:rsid w:val="007C11E2"/>
    <w:rsid w:val="0081762D"/>
    <w:rsid w:val="00833B43"/>
    <w:rsid w:val="00841044"/>
    <w:rsid w:val="00863CCD"/>
    <w:rsid w:val="00871427"/>
    <w:rsid w:val="00872120"/>
    <w:rsid w:val="00873527"/>
    <w:rsid w:val="008A3643"/>
    <w:rsid w:val="008A7183"/>
    <w:rsid w:val="008C224E"/>
    <w:rsid w:val="008C796D"/>
    <w:rsid w:val="008C7996"/>
    <w:rsid w:val="008C7D47"/>
    <w:rsid w:val="008D6010"/>
    <w:rsid w:val="00906E2D"/>
    <w:rsid w:val="009B5EE1"/>
    <w:rsid w:val="009D1793"/>
    <w:rsid w:val="009D3485"/>
    <w:rsid w:val="009D5CDC"/>
    <w:rsid w:val="00A560A2"/>
    <w:rsid w:val="00A7390A"/>
    <w:rsid w:val="00A752B3"/>
    <w:rsid w:val="00A84CD0"/>
    <w:rsid w:val="00AA08DA"/>
    <w:rsid w:val="00B22E4F"/>
    <w:rsid w:val="00B4670A"/>
    <w:rsid w:val="00B547C9"/>
    <w:rsid w:val="00B55F2A"/>
    <w:rsid w:val="00BA1007"/>
    <w:rsid w:val="00BA59BE"/>
    <w:rsid w:val="00BA7231"/>
    <w:rsid w:val="00BC32D8"/>
    <w:rsid w:val="00BD0857"/>
    <w:rsid w:val="00BD1407"/>
    <w:rsid w:val="00C36231"/>
    <w:rsid w:val="00C71183"/>
    <w:rsid w:val="00C96052"/>
    <w:rsid w:val="00CC1BB9"/>
    <w:rsid w:val="00CD2BAA"/>
    <w:rsid w:val="00CD608E"/>
    <w:rsid w:val="00D233CF"/>
    <w:rsid w:val="00DA65D2"/>
    <w:rsid w:val="00DC4E67"/>
    <w:rsid w:val="00DC7CEE"/>
    <w:rsid w:val="00E46C95"/>
    <w:rsid w:val="00E90C9E"/>
    <w:rsid w:val="00ED0EFF"/>
    <w:rsid w:val="00EE1F18"/>
    <w:rsid w:val="00EE5CE6"/>
    <w:rsid w:val="00F530BA"/>
    <w:rsid w:val="00F86E32"/>
    <w:rsid w:val="00FD24C7"/>
    <w:rsid w:val="00FD5740"/>
    <w:rsid w:val="00FF23D3"/>
    <w:rsid w:val="013830D2"/>
    <w:rsid w:val="01437794"/>
    <w:rsid w:val="03344A05"/>
    <w:rsid w:val="05275651"/>
    <w:rsid w:val="05B86C53"/>
    <w:rsid w:val="081E3E37"/>
    <w:rsid w:val="13B34670"/>
    <w:rsid w:val="1A3C46BC"/>
    <w:rsid w:val="1B020E5E"/>
    <w:rsid w:val="1C8733A0"/>
    <w:rsid w:val="201D4921"/>
    <w:rsid w:val="20547DB6"/>
    <w:rsid w:val="21602F6F"/>
    <w:rsid w:val="22862C6A"/>
    <w:rsid w:val="245D4345"/>
    <w:rsid w:val="24694EB2"/>
    <w:rsid w:val="25502092"/>
    <w:rsid w:val="2B002CE4"/>
    <w:rsid w:val="2CA10B4F"/>
    <w:rsid w:val="2CAD1D69"/>
    <w:rsid w:val="2EE11733"/>
    <w:rsid w:val="2F923676"/>
    <w:rsid w:val="2FC57EA9"/>
    <w:rsid w:val="301D5EC7"/>
    <w:rsid w:val="33682ACB"/>
    <w:rsid w:val="34185686"/>
    <w:rsid w:val="35313D1A"/>
    <w:rsid w:val="38002C65"/>
    <w:rsid w:val="392E2078"/>
    <w:rsid w:val="39B65135"/>
    <w:rsid w:val="3B020811"/>
    <w:rsid w:val="3B2E26FF"/>
    <w:rsid w:val="3C272C37"/>
    <w:rsid w:val="3EDD372A"/>
    <w:rsid w:val="4155672C"/>
    <w:rsid w:val="43BD5ED1"/>
    <w:rsid w:val="449625B7"/>
    <w:rsid w:val="45BD33BC"/>
    <w:rsid w:val="47F24AD5"/>
    <w:rsid w:val="4866291F"/>
    <w:rsid w:val="4B402719"/>
    <w:rsid w:val="4B9C7ABA"/>
    <w:rsid w:val="4C985FBF"/>
    <w:rsid w:val="4D2F5EED"/>
    <w:rsid w:val="4DC60339"/>
    <w:rsid w:val="4EC40453"/>
    <w:rsid w:val="4F7B2ACC"/>
    <w:rsid w:val="50153BC8"/>
    <w:rsid w:val="51E81108"/>
    <w:rsid w:val="52385E17"/>
    <w:rsid w:val="54752240"/>
    <w:rsid w:val="555D267C"/>
    <w:rsid w:val="5653575C"/>
    <w:rsid w:val="577942AD"/>
    <w:rsid w:val="58FF0EBE"/>
    <w:rsid w:val="5998453C"/>
    <w:rsid w:val="5A834766"/>
    <w:rsid w:val="5BED57C7"/>
    <w:rsid w:val="5D2E69AB"/>
    <w:rsid w:val="5DCC4393"/>
    <w:rsid w:val="5F257633"/>
    <w:rsid w:val="60EA0DC0"/>
    <w:rsid w:val="614E3CA3"/>
    <w:rsid w:val="64CE0A00"/>
    <w:rsid w:val="66B00A67"/>
    <w:rsid w:val="6AB93F9D"/>
    <w:rsid w:val="6C102881"/>
    <w:rsid w:val="6C8A7DA4"/>
    <w:rsid w:val="714078D6"/>
    <w:rsid w:val="747E39E9"/>
    <w:rsid w:val="74857523"/>
    <w:rsid w:val="77533B6A"/>
    <w:rsid w:val="78CD4DAD"/>
    <w:rsid w:val="79377A43"/>
    <w:rsid w:val="79CC62C5"/>
    <w:rsid w:val="79EF4D86"/>
    <w:rsid w:val="7E5F22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_GBK" w:cs="Times New Roman"/>
      <w:kern w:val="32"/>
      <w:sz w:val="32"/>
      <w:szCs w:val="32"/>
      <w:lang w:val="en-US" w:eastAsia="zh-CN" w:bidi="ar-SA"/>
    </w:rPr>
  </w:style>
  <w:style w:type="paragraph" w:styleId="2">
    <w:name w:val="heading 2"/>
    <w:basedOn w:val="1"/>
    <w:next w:val="1"/>
    <w:link w:val="24"/>
    <w:qFormat/>
    <w:uiPriority w:val="0"/>
    <w:pPr>
      <w:tabs>
        <w:tab w:val="left" w:pos="5882"/>
      </w:tabs>
      <w:adjustRightInd w:val="0"/>
      <w:snapToGrid w:val="0"/>
      <w:spacing w:beforeLines="50"/>
      <w:jc w:val="left"/>
      <w:outlineLvl w:val="1"/>
    </w:pPr>
    <w:rPr>
      <w:rFonts w:ascii="Times New Roman" w:hAnsi="Times New Roman" w:eastAsia="宋体"/>
      <w:b/>
      <w:kern w:val="0"/>
      <w:sz w:val="24"/>
      <w:szCs w:val="24"/>
    </w:rPr>
  </w:style>
  <w:style w:type="paragraph" w:styleId="3">
    <w:name w:val="heading 3"/>
    <w:basedOn w:val="1"/>
    <w:next w:val="1"/>
    <w:link w:val="19"/>
    <w:qFormat/>
    <w:uiPriority w:val="0"/>
    <w:pPr>
      <w:topLinePunct/>
      <w:spacing w:before="120" w:line="480" w:lineRule="exact"/>
      <w:outlineLvl w:val="2"/>
    </w:pPr>
    <w:rPr>
      <w:rFonts w:ascii="Times New Roman" w:hAnsi="Times New Roman" w:eastAsia="楷体_GB2312"/>
      <w:b/>
      <w:bCs/>
      <w:color w:val="000000"/>
      <w:kern w:val="2"/>
      <w:sz w:val="28"/>
      <w:szCs w:val="28"/>
    </w:rPr>
  </w:style>
  <w:style w:type="paragraph" w:styleId="4">
    <w:name w:val="heading 4"/>
    <w:basedOn w:val="1"/>
    <w:next w:val="1"/>
    <w:link w:val="22"/>
    <w:qFormat/>
    <w:uiPriority w:val="0"/>
    <w:pPr>
      <w:keepNext/>
      <w:keepLines/>
      <w:spacing w:before="280" w:after="290" w:line="376" w:lineRule="auto"/>
      <w:outlineLvl w:val="3"/>
    </w:pPr>
    <w:rPr>
      <w:rFonts w:ascii="Arial" w:hAnsi="Arial" w:eastAsia="黑体"/>
      <w:b/>
      <w:bCs/>
      <w:kern w:val="2"/>
      <w:sz w:val="28"/>
      <w:szCs w:val="28"/>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Body Text"/>
    <w:basedOn w:val="6"/>
    <w:next w:val="6"/>
    <w:qFormat/>
    <w:uiPriority w:val="1"/>
    <w:rPr>
      <w:sz w:val="24"/>
      <w:szCs w:val="24"/>
    </w:rPr>
  </w:style>
  <w:style w:type="paragraph" w:styleId="6">
    <w:name w:val="Title"/>
    <w:basedOn w:val="1"/>
    <w:next w:val="1"/>
    <w:qFormat/>
    <w:uiPriority w:val="0"/>
    <w:pPr>
      <w:adjustRightInd w:val="0"/>
      <w:snapToGrid w:val="0"/>
      <w:spacing w:before="240" w:after="60" w:line="360" w:lineRule="auto"/>
      <w:ind w:firstLine="200" w:firstLineChars="200"/>
      <w:jc w:val="center"/>
      <w:outlineLvl w:val="0"/>
    </w:pPr>
    <w:rPr>
      <w:rFonts w:ascii="Cambria" w:hAnsi="Cambria"/>
      <w:b/>
      <w:bCs/>
    </w:rPr>
  </w:style>
  <w:style w:type="paragraph" w:styleId="7">
    <w:name w:val="Plain Text"/>
    <w:basedOn w:val="1"/>
    <w:qFormat/>
    <w:uiPriority w:val="0"/>
    <w:rPr>
      <w:rFonts w:ascii="宋体"/>
      <w:snapToGrid w:val="0"/>
      <w:kern w:val="0"/>
      <w:szCs w:val="20"/>
    </w:rPr>
  </w:style>
  <w:style w:type="paragraph" w:styleId="8">
    <w:name w:val="footer"/>
    <w:basedOn w:val="1"/>
    <w:link w:val="23"/>
    <w:qFormat/>
    <w:uiPriority w:val="0"/>
    <w:pPr>
      <w:tabs>
        <w:tab w:val="center" w:pos="4153"/>
        <w:tab w:val="right" w:pos="8306"/>
      </w:tabs>
      <w:snapToGrid w:val="0"/>
      <w:jc w:val="left"/>
    </w:pPr>
    <w:rPr>
      <w:sz w:val="18"/>
      <w:szCs w:val="18"/>
    </w:rPr>
  </w:style>
  <w:style w:type="paragraph" w:styleId="9">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jc w:val="left"/>
    </w:pPr>
    <w:rPr>
      <w:rFonts w:eastAsia="宋体"/>
      <w:kern w:val="0"/>
      <w:sz w:val="24"/>
    </w:rPr>
  </w:style>
  <w:style w:type="character" w:styleId="13">
    <w:name w:val="Strong"/>
    <w:basedOn w:val="12"/>
    <w:qFormat/>
    <w:uiPriority w:val="0"/>
    <w:rPr>
      <w:b/>
    </w:rPr>
  </w:style>
  <w:style w:type="character" w:styleId="14">
    <w:name w:val="annotation reference"/>
    <w:basedOn w:val="12"/>
    <w:qFormat/>
    <w:uiPriority w:val="0"/>
    <w:rPr>
      <w:sz w:val="21"/>
      <w:szCs w:val="21"/>
    </w:rPr>
  </w:style>
  <w:style w:type="paragraph" w:customStyle="1" w:styleId="15">
    <w:name w:val="Default"/>
    <w:basedOn w:val="16"/>
    <w:qFormat/>
    <w:uiPriority w:val="99"/>
    <w:pPr>
      <w:widowControl w:val="0"/>
      <w:autoSpaceDE w:val="0"/>
      <w:autoSpaceDN w:val="0"/>
      <w:adjustRightInd w:val="0"/>
    </w:pPr>
    <w:rPr>
      <w:rFonts w:ascii="宋体" w:cs="宋体"/>
      <w:color w:val="000000"/>
      <w:sz w:val="24"/>
      <w:szCs w:val="24"/>
      <w:lang w:val="en-US" w:eastAsia="zh-CN" w:bidi="ar-SA"/>
    </w:rPr>
  </w:style>
  <w:style w:type="paragraph" w:customStyle="1" w:styleId="16">
    <w:name w:val="纯文本1"/>
    <w:basedOn w:val="1"/>
    <w:qFormat/>
    <w:uiPriority w:val="0"/>
    <w:pPr>
      <w:suppressAutoHyphens/>
    </w:pPr>
    <w:rPr>
      <w:rFonts w:ascii="宋体" w:hAnsi="宋体" w:eastAsia="宋体" w:cs="Times New Roman"/>
      <w:kern w:val="1"/>
      <w:sz w:val="28"/>
      <w:lang w:eastAsia="ar-SA"/>
    </w:rPr>
  </w:style>
  <w:style w:type="paragraph" w:customStyle="1" w:styleId="17">
    <w:name w:val="Normal Indent1"/>
    <w:basedOn w:val="1"/>
    <w:next w:val="1"/>
    <w:qFormat/>
    <w:uiPriority w:val="99"/>
    <w:pPr>
      <w:ind w:firstLine="420"/>
    </w:pPr>
  </w:style>
  <w:style w:type="paragraph" w:customStyle="1" w:styleId="18">
    <w:name w:val="正本文字"/>
    <w:basedOn w:val="1"/>
    <w:autoRedefine/>
    <w:qFormat/>
    <w:uiPriority w:val="0"/>
    <w:pPr>
      <w:adjustRightInd w:val="0"/>
      <w:snapToGrid w:val="0"/>
      <w:spacing w:line="360" w:lineRule="auto"/>
      <w:ind w:firstLine="480" w:firstLineChars="200"/>
      <w:jc w:val="left"/>
    </w:pPr>
    <w:rPr>
      <w:rFonts w:cs="宋体"/>
      <w:kern w:val="18"/>
      <w:sz w:val="24"/>
    </w:rPr>
  </w:style>
  <w:style w:type="character" w:customStyle="1" w:styleId="19">
    <w:name w:val="标题 3 字符"/>
    <w:link w:val="3"/>
    <w:qFormat/>
    <w:uiPriority w:val="0"/>
    <w:rPr>
      <w:rFonts w:eastAsia="楷体_GB2312"/>
      <w:b/>
      <w:bCs/>
      <w:color w:val="000000"/>
      <w:kern w:val="2"/>
      <w:sz w:val="28"/>
      <w:szCs w:val="28"/>
    </w:rPr>
  </w:style>
  <w:style w:type="character" w:customStyle="1" w:styleId="20">
    <w:name w:val="标题 3 Char"/>
    <w:semiHidden/>
    <w:qFormat/>
    <w:uiPriority w:val="0"/>
    <w:rPr>
      <w:rFonts w:ascii="Calibri" w:hAnsi="Calibri" w:eastAsia="方正仿宋_GBK"/>
      <w:b/>
      <w:bCs/>
      <w:kern w:val="32"/>
      <w:sz w:val="32"/>
      <w:szCs w:val="32"/>
    </w:rPr>
  </w:style>
  <w:style w:type="character" w:customStyle="1" w:styleId="21">
    <w:name w:val="页眉 字符"/>
    <w:link w:val="9"/>
    <w:qFormat/>
    <w:uiPriority w:val="0"/>
    <w:rPr>
      <w:rFonts w:ascii="Calibri" w:hAnsi="Calibri" w:eastAsia="方正仿宋_GBK"/>
      <w:kern w:val="32"/>
      <w:sz w:val="18"/>
      <w:szCs w:val="18"/>
    </w:rPr>
  </w:style>
  <w:style w:type="character" w:customStyle="1" w:styleId="22">
    <w:name w:val="标题 4 字符"/>
    <w:link w:val="4"/>
    <w:qFormat/>
    <w:uiPriority w:val="0"/>
    <w:rPr>
      <w:rFonts w:ascii="Arial" w:hAnsi="Arial" w:eastAsia="黑体"/>
      <w:b/>
      <w:bCs/>
      <w:kern w:val="2"/>
      <w:sz w:val="28"/>
      <w:szCs w:val="28"/>
    </w:rPr>
  </w:style>
  <w:style w:type="character" w:customStyle="1" w:styleId="23">
    <w:name w:val="页脚 字符"/>
    <w:link w:val="8"/>
    <w:qFormat/>
    <w:uiPriority w:val="0"/>
    <w:rPr>
      <w:rFonts w:ascii="Calibri" w:hAnsi="Calibri" w:eastAsia="方正仿宋_GBK"/>
      <w:kern w:val="32"/>
      <w:sz w:val="18"/>
      <w:szCs w:val="18"/>
    </w:rPr>
  </w:style>
  <w:style w:type="character" w:customStyle="1" w:styleId="24">
    <w:name w:val="标题 2 字符"/>
    <w:link w:val="2"/>
    <w:qFormat/>
    <w:uiPriority w:val="0"/>
    <w:rPr>
      <w:rFonts w:eastAsia="宋体"/>
      <w:b/>
      <w:sz w:val="24"/>
      <w:szCs w:val="24"/>
    </w:rPr>
  </w:style>
  <w:style w:type="character" w:customStyle="1" w:styleId="25">
    <w:name w:val="标题 4 Char"/>
    <w:semiHidden/>
    <w:qFormat/>
    <w:uiPriority w:val="0"/>
    <w:rPr>
      <w:rFonts w:ascii="Cambria" w:hAnsi="Cambria" w:eastAsia="宋体" w:cs="Times New Roman"/>
      <w:b/>
      <w:bCs/>
      <w:kern w:val="32"/>
      <w:sz w:val="28"/>
      <w:szCs w:val="28"/>
    </w:rPr>
  </w:style>
  <w:style w:type="character" w:customStyle="1" w:styleId="26">
    <w:name w:val="正文 旺源文字段落 Char"/>
    <w:link w:val="27"/>
    <w:qFormat/>
    <w:uiPriority w:val="0"/>
    <w:rPr>
      <w:rFonts w:ascii="宋体" w:hAnsi="宋体" w:cs="宋体"/>
      <w:kern w:val="24"/>
      <w:sz w:val="24"/>
      <w:szCs w:val="24"/>
    </w:rPr>
  </w:style>
  <w:style w:type="paragraph" w:customStyle="1" w:styleId="27">
    <w:name w:val="正文 旺源文字段落"/>
    <w:basedOn w:val="1"/>
    <w:link w:val="26"/>
    <w:qFormat/>
    <w:uiPriority w:val="0"/>
    <w:pPr>
      <w:spacing w:line="500" w:lineRule="exact"/>
      <w:ind w:firstLine="420"/>
    </w:pPr>
    <w:rPr>
      <w:rFonts w:ascii="宋体" w:hAnsi="宋体" w:eastAsia="宋体"/>
      <w:kern w:val="24"/>
      <w:sz w:val="24"/>
      <w:szCs w:val="24"/>
    </w:rPr>
  </w:style>
  <w:style w:type="paragraph" w:customStyle="1" w:styleId="28">
    <w:name w:val="LH样式"/>
    <w:basedOn w:val="1"/>
    <w:qFormat/>
    <w:uiPriority w:val="0"/>
    <w:pPr>
      <w:spacing w:line="480" w:lineRule="exact"/>
      <w:ind w:firstLine="520" w:firstLineChars="200"/>
    </w:pPr>
    <w:rPr>
      <w:rFonts w:ascii="Times New Roman" w:hAnsi="Times New Roman" w:eastAsia="宋体"/>
      <w:color w:val="00B0F0"/>
      <w:kern w:val="2"/>
      <w:sz w:val="26"/>
      <w:szCs w:val="26"/>
    </w:rPr>
  </w:style>
  <w:style w:type="paragraph" w:customStyle="1" w:styleId="29">
    <w:name w:val="正文2"/>
    <w:basedOn w:val="1"/>
    <w:qFormat/>
    <w:uiPriority w:val="0"/>
    <w:pPr>
      <w:spacing w:line="360" w:lineRule="auto"/>
      <w:ind w:firstLine="200" w:firstLineChars="200"/>
    </w:pPr>
    <w:rPr>
      <w:rFonts w:ascii="Times New Roman" w:hAnsi="Times New Roman" w:eastAsia="宋体"/>
      <w:sz w:val="24"/>
      <w:szCs w:val="20"/>
    </w:rPr>
  </w:style>
  <w:style w:type="paragraph" w:customStyle="1" w:styleId="30">
    <w:name w:val="Table Text"/>
    <w:basedOn w:val="1"/>
    <w:semiHidden/>
    <w:qFormat/>
    <w:uiPriority w:val="0"/>
    <w:rPr>
      <w:rFonts w:ascii="宋体" w:hAnsi="宋体" w:eastAsia="宋体" w:cs="宋体"/>
      <w:sz w:val="21"/>
      <w:szCs w:val="21"/>
      <w:lang w:val="en-US" w:eastAsia="en-US" w:bidi="ar-SA"/>
    </w:rPr>
  </w:style>
  <w:style w:type="paragraph" w:customStyle="1" w:styleId="31">
    <w:name w:val="H正文"/>
    <w:basedOn w:val="1"/>
    <w:qFormat/>
    <w:uiPriority w:val="0"/>
    <w:pPr>
      <w:adjustRightInd w:val="0"/>
      <w:spacing w:line="400" w:lineRule="exact"/>
      <w:ind w:firstLine="200" w:firstLineChars="200"/>
      <w:textAlignment w:val="baseline"/>
    </w:pPr>
    <w:rPr>
      <w:rFonts w:ascii="Times New Roman" w:hAnsi="Times New Roman" w:eastAsia="宋体"/>
      <w:snapToGrid w:val="0"/>
      <w:spacing w:val="6"/>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2441</Words>
  <Characters>2528</Characters>
  <Lines>97</Lines>
  <Paragraphs>85</Paragraphs>
  <TotalTime>1</TotalTime>
  <ScaleCrop>false</ScaleCrop>
  <LinksUpToDate>false</LinksUpToDate>
  <CharactersWithSpaces>2532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2019-10-22T01:39:00Z</dcterms:created>
  <dc:creator>lenovo</dc:creator>
  <cp:lastModifiedBy>郭丽娜</cp:lastModifiedBy>
  <cp:lastPrinted>2016-09-13T03:08:00Z</cp:lastPrinted>
  <dcterms:modified xsi:type="dcterms:W3CDTF">2026-04-13T07:56:29Z</dcterms:modified>
  <dc:title>曲靖市环境保护局</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CCA3AE5AD631485994778953D40F37FE_13</vt:lpwstr>
  </property>
  <property fmtid="{D5CDD505-2E9C-101B-9397-08002B2CF9AE}" pid="4" name="KSOTemplateDocerSaveRecord">
    <vt:lpwstr>eyJoZGlkIjoiYTA0OTFiNTllN2E3YTc2MDc5ZTIwYTg0ZjFlZjFlMWQiLCJ1c2VySWQiOiIzNzMyMDUyODEifQ==</vt:lpwstr>
  </property>
</Properties>
</file>