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0" w:type="auto"/>
        <w:tblInd w:w="-2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2246"/>
        <w:gridCol w:w="1276"/>
        <w:gridCol w:w="1559"/>
        <w:gridCol w:w="1276"/>
        <w:gridCol w:w="1701"/>
      </w:tblGrid>
      <w:tr w14:paraId="3A48C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D527565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2" w:name="_GoBack"/>
            <w:bookmarkEnd w:id="2"/>
            <w:r>
              <w:rPr>
                <w:rFonts w:hint="eastAsia" w:asci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6346F">
            <w:pPr>
              <w:widowControl/>
              <w:spacing w:line="280" w:lineRule="exact"/>
              <w:jc w:val="left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bookmarkStart w:id="0" w:name="OLE_LINK1"/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罗平县九龙光伏发电项目</w:t>
            </w:r>
            <w:bookmarkEnd w:id="0"/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983D756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建设地点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43728">
            <w:pPr>
              <w:widowControl/>
              <w:spacing w:line="28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宋体" w:cs="Times New Roman"/>
                <w:kern w:val="0"/>
                <w:sz w:val="24"/>
                <w:szCs w:val="24"/>
                <w:lang w:val="en-US" w:eastAsia="zh-CN"/>
              </w:rPr>
              <w:t>罗平县九龙街道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89ADE9B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建设单位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71AEB"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华能珞电（罗平）新能源有限责任公司</w:t>
            </w:r>
          </w:p>
        </w:tc>
      </w:tr>
      <w:tr w14:paraId="1AA35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577C69D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环评文件类型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1AB4F">
            <w:pPr>
              <w:widowControl/>
              <w:spacing w:line="280" w:lineRule="exact"/>
              <w:jc w:val="center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报告表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DE70F26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环境影响评价机构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4E834E2">
            <w:pPr>
              <w:widowControl/>
              <w:spacing w:line="280" w:lineRule="exact"/>
              <w:jc w:val="center"/>
              <w:rPr>
                <w:rFonts w:hint="default" w:ascii="宋体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云南江楚环保科技有限公司</w:t>
            </w:r>
          </w:p>
        </w:tc>
      </w:tr>
      <w:tr w14:paraId="393D7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73412FE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项目概况</w:t>
            </w:r>
          </w:p>
        </w:tc>
      </w:tr>
      <w:tr w14:paraId="06015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C5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罗平县九龙光伏发电项目场址位于罗平县九龙街道堵木村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委会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标草塘村附近的坡地上，项目</w:t>
            </w:r>
            <w:r>
              <w:rPr>
                <w:rFonts w:hint="default" w:ascii="宋体" w:cs="Times New Roman"/>
                <w:sz w:val="24"/>
                <w:szCs w:val="24"/>
              </w:rPr>
              <w:t>总装机规模为交流侧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100.16</w:t>
            </w:r>
            <w:r>
              <w:rPr>
                <w:rFonts w:hint="default" w:ascii="宋体" w:cs="Times New Roman"/>
                <w:sz w:val="24"/>
                <w:szCs w:val="24"/>
              </w:rPr>
              <w:t>MW，直流侧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119.54096</w:t>
            </w:r>
            <w:r>
              <w:rPr>
                <w:rFonts w:hint="default" w:ascii="宋体" w:cs="Times New Roman"/>
                <w:sz w:val="24"/>
                <w:szCs w:val="24"/>
              </w:rPr>
              <w:t>MW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，整个光伏场区经过4回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35kV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汇集线路汇集电能后接至本项目新建的220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kV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升压站。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本项目拟在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光伏场区西侧12#光伏子方阵周边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0kV升压站1座，主变容量为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1×180MVA。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工程总投资：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34715.3万元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，其中环保投资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323.36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万元，占总投资的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0.39</w:t>
            </w:r>
            <w:r>
              <w:rPr>
                <w:rFonts w:hint="default" w:ascii="宋体" w:cs="Times New Roman"/>
                <w:sz w:val="24"/>
                <w:szCs w:val="24"/>
                <w:lang w:val="en-US" w:eastAsia="zh-CN"/>
              </w:rPr>
              <w:t>%。</w:t>
            </w:r>
          </w:p>
        </w:tc>
      </w:tr>
      <w:tr w14:paraId="61C80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C5436DE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项目主要环境影响</w:t>
            </w:r>
          </w:p>
        </w:tc>
      </w:tr>
      <w:tr w14:paraId="55F5B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9259">
            <w:pPr>
              <w:adjustRightInd w:val="0"/>
              <w:snapToGrid w:val="0"/>
              <w:spacing w:line="240" w:lineRule="auto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（一）施工期环境影响</w:t>
            </w:r>
          </w:p>
          <w:p w14:paraId="61FDE2DB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、大气污染物主要有扬尘、施工机械和车辆尾气。</w:t>
            </w:r>
          </w:p>
          <w:p w14:paraId="79A39A9A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2、废水主要是施工废水和施工人员生活污水和暴雨地表径流。</w:t>
            </w:r>
          </w:p>
          <w:p w14:paraId="1539EACB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3、施工噪声主要来源于各类高噪声施工机械等。</w:t>
            </w:r>
          </w:p>
          <w:p w14:paraId="62FA25CC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4、固体废物为施工产生的建筑垃圾、弃土及人员生活垃圾。</w:t>
            </w:r>
          </w:p>
          <w:p w14:paraId="4C9EDB63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5、项目建设期将对区域生态环境产生一定的影响。</w:t>
            </w:r>
          </w:p>
          <w:p w14:paraId="5FF77DD5">
            <w:pPr>
              <w:adjustRightInd w:val="0"/>
              <w:snapToGrid w:val="0"/>
              <w:spacing w:line="240" w:lineRule="auto"/>
              <w:rPr>
                <w:rFonts w:hint="default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（二）运营期环境影响</w:t>
            </w:r>
          </w:p>
          <w:p w14:paraId="5BB237A3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1、废气主要为食堂油烟废气。</w:t>
            </w:r>
          </w:p>
          <w:p w14:paraId="4C1152F3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2、废水主要包括太阳能电池板清洗废水、生活污水等。</w:t>
            </w:r>
          </w:p>
          <w:p w14:paraId="3129FFED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3、运营期光伏发电组件设备基本没有机械传动或运动部件，光伏组件产生的噪声较小，噪声主要为升压站主变压器、箱式变压器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等设备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运行过程中产生的机械噪声。</w:t>
            </w:r>
          </w:p>
          <w:p w14:paraId="47E4C80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4、项目产生的固废为一般固废和危险固废。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一般固废包括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废太阳能电池组件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、废逆变器、废电气元件、废旧磷酸铁锂电池、生活垃圾、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隔油池废油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、餐厨垃圾、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化粪池污泥、一体化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生活污水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处理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站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污泥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；危险废物为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变压器事故废油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废铅蓄电池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、检修废油、含油抹布、手套。</w:t>
            </w:r>
          </w:p>
          <w:p w14:paraId="03837498">
            <w:pPr>
              <w:ind w:firstLine="480" w:firstLineChars="200"/>
              <w:rPr>
                <w:rFonts w:hint="eastAsi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5、电磁辐射。</w:t>
            </w:r>
          </w:p>
        </w:tc>
      </w:tr>
      <w:tr w14:paraId="52388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5BB9562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项目预防及减轻不良环境影响的对策和措施</w:t>
            </w:r>
          </w:p>
        </w:tc>
      </w:tr>
      <w:tr w14:paraId="49FCE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CE9FE">
            <w:pPr>
              <w:adjustRightInd w:val="0"/>
              <w:snapToGrid w:val="0"/>
              <w:spacing w:line="240" w:lineRule="auto"/>
              <w:rPr>
                <w:rFonts w:hint="eastAsia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（一）施工期</w:t>
            </w:r>
            <w:r>
              <w:rPr>
                <w:rFonts w:hint="default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主要对策和措施</w:t>
            </w:r>
          </w:p>
          <w:p w14:paraId="2CB0591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 生态环境保护措施</w:t>
            </w:r>
          </w:p>
          <w:p w14:paraId="541A7C10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1.1 生态环境避让措施</w:t>
            </w:r>
          </w:p>
          <w:p w14:paraId="3E19F4D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①施工时应划定合理的施工范围，禁止超范围施工，注意避让生态保护红线及罗平多依河-鲁布革风景名胜区，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在靠近生态保护红线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及风景名胜区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一侧设立围栏，建立严格的奖惩制度，并设立实时监控，禁止任何施工人员及施工机械跨越围栏到生态保护红线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及风景名胜区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区域活动。</w:t>
            </w:r>
          </w:p>
          <w:p w14:paraId="40C75F10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②优化临时施工场地布置，禁止在生态保护红线范围及风景名胜区内设置临时设施。</w:t>
            </w:r>
          </w:p>
          <w:p w14:paraId="4E78464D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2 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植被植物影响减缓措施</w:t>
            </w:r>
          </w:p>
          <w:p w14:paraId="3B2C40BF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①</w:t>
            </w:r>
            <w:bookmarkStart w:id="1" w:name="_Toc421007130"/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结合水土保持措施对道路等区域内破坏的植被进行植被恢复，加强管理保护好项目区内现有植被，严禁员工破坏周边植被及农作物等。</w:t>
            </w:r>
          </w:p>
          <w:p w14:paraId="757FC3C6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②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对太阳能电池板、场内道路、逆变器等场所周围空地进行人工绿化。绿化可考虑选取乡土树种为主，易于存活。</w:t>
            </w:r>
          </w:p>
          <w:bookmarkEnd w:id="1"/>
          <w:p w14:paraId="2F0843FB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3 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野生动物保护措施</w:t>
            </w:r>
          </w:p>
          <w:p w14:paraId="18F48EB5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（1）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工程施工期间尤其要加强对施工人员的管理和教育，禁止非法狩猎和捕杀陆生脊椎动物，减少工程建设对动物的影响。</w:t>
            </w:r>
          </w:p>
          <w:p w14:paraId="57710F82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（2）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保护栖息地。在保护野生动物的措施中，最有力的一条就是保护野生动物的栖息地，从某种意义上来说，保护好了栖息地，就等于保护好了野生动物，就要求认真保护好森林和环境，合理安排施工规划，减少对动物生境的破坏。因此，工程建设中应尽量避让长势较好的森林植被，严禁破坏占地区外的森林植被。</w:t>
            </w:r>
          </w:p>
          <w:p w14:paraId="13C7B8E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 施工期水污染防治措施</w:t>
            </w:r>
          </w:p>
          <w:p w14:paraId="5DD83E20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临时场地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内食堂废水经隔油池预处理后与其他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生活污水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一起进入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卫生厕所化粪池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施工人员粪尿污物经卫生厕所化粪池处理后，委托当地环卫部门定期清掏外运处理，施工结束后卫生厕所应予以拆除并无害化处理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249CFD1B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施工废水采用沉淀池收集、澄清回用，产生的施工废水全部收集于废水沉淀池内，收集后回用于其他施工工序或者洒水降尘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1168D5C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 施工期废气污染防治措施</w:t>
            </w:r>
          </w:p>
          <w:p w14:paraId="31221F2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（1）升压站设不低于2.5m的施工围挡，在标草塘周边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光伏矩阵施工场地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施工，且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距离低于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200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m时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光伏矩阵施工场地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面向村庄一侧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设置不低于2.5m的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遮挡围挡，并加强施工场地洒水降尘，用土工布覆盖易产尘材料、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土石方及时回填压实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等措施。</w:t>
            </w:r>
          </w:p>
          <w:p w14:paraId="349B136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（2）加强施工场地洒水降尘，用土工布覆盖易产尘材料、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土石方及时回填压实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等措施。施工过程中产生的临时裸露面、未及时回填的基坑及临时堆土区，采用土工布/防尘网全覆盖；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在堆存期间采用密目网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对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表土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临时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堆场进行临时覆盖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，定时进行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洒水降尘，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表土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临时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堆场中表土全部回用并结束堆土后对其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及时进行植被恢复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32DC3C8E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 施工期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噪声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污染防治措施</w:t>
            </w:r>
          </w:p>
          <w:p w14:paraId="168C072E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（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选用低噪声施工设备，对产生高噪声的施工设备采取有效的减振、隔声等防护措施。</w:t>
            </w:r>
          </w:p>
          <w:p w14:paraId="21D52A0E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在升压站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施工时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应设置不低于2.5m的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遮挡围挡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在村庄周边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光伏矩阵施工场地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施工，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且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施工区与居民点的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距离低于200m时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在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光伏矩阵施工场地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面向村庄一侧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应设置不低于2.5m的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遮挡围挡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，围墙应用标准板材或砖砌筑。同时在采取合理规划施工时间及施工时序，夜间项目不施工；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使用噪声更小的施工工艺，比如柔性钻代替刚性钻，并在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靠近居民点100m范围内的光伏阵区或集电线路施工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时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采用人工开挖基础等措施来控制噪声影响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5715C2DC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 施工期固体废弃物处置措施</w:t>
            </w:r>
          </w:p>
          <w:p w14:paraId="55E9DDA5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（1）本项目土石方挖填平衡，无永久弃渣产生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项目不设置弃渣场；表土进行剥离及收集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堆放于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表土堆存场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内，后用于绿化覆土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61393AE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（2）建筑垃圾在可再生利用部分回收后，不可回收利用的委托有资质单位处置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22721C74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（3）生活垃圾经收集后运至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九龙街道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垃圾收集点处置。</w:t>
            </w:r>
          </w:p>
          <w:p w14:paraId="3F1FC441">
            <w:pPr>
              <w:adjustRightInd w:val="0"/>
              <w:snapToGrid w:val="0"/>
              <w:spacing w:line="240" w:lineRule="auto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（一）</w:t>
            </w:r>
            <w:r>
              <w:rPr>
                <w:rFonts w:hint="default" w:ascii="宋体" w:hAnsi="Calibri" w:eastAsia="方正仿宋_GBK" w:cs="Times New Roman"/>
                <w:b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  <w:t>运营期主要对策和措施</w:t>
            </w:r>
          </w:p>
          <w:p w14:paraId="264D2D8D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 生态环境保护措施</w:t>
            </w:r>
          </w:p>
          <w:p w14:paraId="00D05AA7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（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）项目运行期，禁止光伏电站工作人员捕杀野生动物；应注意观察评价区域内陆栖脊椎动物的活动情况，并注意保护评价区域内陆栖脊椎动物，发现异常应向林业部门报告，遇到受伤或死亡动物应将其交予林业部门，并排查原因。</w:t>
            </w:r>
          </w:p>
          <w:p w14:paraId="1EB64382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（2）结合水土保持措施对道路等区域内破坏的植被进行植被恢复，加强管理保护好项目区内现有植被，严禁员工破坏周边植被及农作物等。</w:t>
            </w:r>
          </w:p>
          <w:p w14:paraId="0C7937F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（3）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运营期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建设单位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须对电站工作人员加强管理，在项目区周边设置生态保护警示牌，告知工作人员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生态保护红线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区的位置及范围，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尽量减少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工作人员进入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生态保护红线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区内活动。严禁随意破坏植被、植物，禁止人为捕杀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动物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zh-CN" w:eastAsia="zh-CN" w:bidi="ar-SA"/>
              </w:rPr>
              <w:t>。</w:t>
            </w:r>
          </w:p>
          <w:p w14:paraId="3E2D102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 运营期水污染防治措施</w:t>
            </w:r>
          </w:p>
          <w:p w14:paraId="2A5256CB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（1）太阳能电池板的清洗废水直接顺着流在太阳能电池组件下面的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林草植物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上，作为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林草植物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灌溉补充水，不外排</w:t>
            </w:r>
            <w:r>
              <w:rPr>
                <w:rFonts w:hint="eastAsia" w:ascii="宋体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20FFB4A0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（2）食堂废水经隔油池预处理后与其他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生活污水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一起进入化粪池预处理，后统一进入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一体化生活污水处理站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进行处理，处理达标后排入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生活污水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收集池作为升压站场区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非雨天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绿化降尘用水回用，雨天储存，不外排。</w:t>
            </w:r>
          </w:p>
          <w:p w14:paraId="3D341DA7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 运营期废气污染防治措施</w:t>
            </w:r>
          </w:p>
          <w:p w14:paraId="53A663A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（1）升压站内使用清洁能源，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食堂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油烟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经处理效率不低于60%油烟净化器处理达标后，最终通过高于屋顶1.5m排气筒排放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08337E9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（2）化粪池、一体化生活污水处理站加盖密封，产生的污泥定期委托当地环保部门清掏外出处理。</w:t>
            </w:r>
          </w:p>
          <w:p w14:paraId="1C623342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4 运营期噪声污染防治措施</w:t>
            </w:r>
          </w:p>
          <w:p w14:paraId="78C67F2A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（1）本评价要求建设单位建设升压站厂界围墙，围墙高度不应低于2.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m。</w:t>
            </w:r>
          </w:p>
          <w:p w14:paraId="509A2272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（2）建设单位在设备选型上应尽量选择低噪设备。</w:t>
            </w:r>
          </w:p>
          <w:p w14:paraId="2D84901C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）合理规划升压站平面布置，在噪声传播途径上，采取措施加以控制，尽可能将高噪声设备设置在密闭房间内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水泵夜间不运行。</w:t>
            </w:r>
          </w:p>
          <w:p w14:paraId="29FBA5C5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5 运营期固废污染防治措施</w:t>
            </w:r>
          </w:p>
          <w:p w14:paraId="7886848F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（1）废旧光伏电池板由专业维护公司直接带走回收。</w:t>
            </w:r>
          </w:p>
          <w:p w14:paraId="35B1CEC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（2）废逆变器、废电子元件、废旧磷酸铁锂电池由专业的回收厂家收购处理。</w:t>
            </w:r>
          </w:p>
          <w:p w14:paraId="4A13408E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（3）更换后的废MBR膜收集后由维护人员带走返回厂家回收。</w:t>
            </w:r>
          </w:p>
          <w:p w14:paraId="2A3E0D55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）更换下来的废铅蓄电池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、检修废油、含油废物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经收集后，放置在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危废暂存间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暂存后，交有资质的单位处置。</w:t>
            </w:r>
          </w:p>
          <w:p w14:paraId="0DFD310E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）升压站内工作人员生活垃圾经收集后运至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九龙街道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垃圾收集点处置。</w:t>
            </w:r>
          </w:p>
          <w:p w14:paraId="6321FCD7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）本次环评要求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集油坑+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升压站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总事故油池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及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危废暂存间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严格按照《危险废物贮存污染控制标准》（GB18597-20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23</w:t>
            </w: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）设计建设。</w:t>
            </w:r>
          </w:p>
          <w:p w14:paraId="139ECBE9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电磁辐射防治措施</w:t>
            </w:r>
          </w:p>
          <w:p w14:paraId="77808EA3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（1）按照《电力设施保护条例》和《云南省电力设施保护条例》的要求，变电站围墙外延伸3米所形成的区域为安全防护距离，应严格按照《云南省电力设施保护条例》的要求进行保护。</w:t>
            </w:r>
          </w:p>
          <w:p w14:paraId="014B9EC1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（2）合理设计并保证设备及配件加工精良</w:t>
            </w:r>
            <w:r>
              <w:rPr>
                <w:rFonts w:hint="eastAsia" w:ascii="宋体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  <w:p w14:paraId="0A43F804">
            <w:pPr>
              <w:adjustRightInd w:val="0"/>
              <w:snapToGrid w:val="0"/>
              <w:spacing w:line="240" w:lineRule="auto"/>
              <w:ind w:firstLine="480" w:firstLineChars="200"/>
              <w:rPr>
                <w:rFonts w:hint="eastAsia" w:eastAsia="方正仿宋_GBK"/>
                <w:lang w:val="en-US" w:eastAsia="zh-CN"/>
              </w:rPr>
            </w:pPr>
            <w:r>
              <w:rPr>
                <w:rFonts w:hint="eastAsia" w:ascii="宋体" w:hAnsi="Calibri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（3）采用良好的屏蔽体对各种电气设备进行遮蔽，有效降低电磁环境影响。</w:t>
            </w:r>
          </w:p>
        </w:tc>
      </w:tr>
      <w:tr w14:paraId="2BD81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9540946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公众参与情况</w:t>
            </w:r>
          </w:p>
        </w:tc>
      </w:tr>
      <w:tr w14:paraId="0E927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1792D"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无。</w:t>
            </w:r>
          </w:p>
        </w:tc>
      </w:tr>
      <w:tr w14:paraId="1A8DE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4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13A19AC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建设单位或地方政府所作出的相关承诺文件</w:t>
            </w:r>
          </w:p>
        </w:tc>
        <w:tc>
          <w:tcPr>
            <w:tcW w:w="5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607B6">
            <w:pPr>
              <w:pStyle w:val="7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信息公开承诺书。</w:t>
            </w:r>
            <w:r>
              <w:rPr>
                <w:rFonts w:hint="eastAsia"/>
              </w:rPr>
              <w:t>　</w:t>
            </w:r>
          </w:p>
        </w:tc>
      </w:tr>
      <w:tr w14:paraId="0755D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1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40CA748"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注:项目概况、项目主要环境影响、项目预防及减轻不良环境影响的对策和措施、公众参与情况、建设单位或地方政府所作出的相关承诺文件部分由建设单位填写。公众反馈意见联系方式部分由行政审批机关填写。</w:t>
            </w:r>
          </w:p>
        </w:tc>
      </w:tr>
    </w:tbl>
    <w:p w14:paraId="6B5494CD">
      <w:pPr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YzQ1NDY1YjQ0MjBjMWNmZDQyYjE1NzJjMWYwMDcifQ=="/>
  </w:docVars>
  <w:rsids>
    <w:rsidRoot w:val="392E2078"/>
    <w:rsid w:val="0007389C"/>
    <w:rsid w:val="00150BE9"/>
    <w:rsid w:val="00156B39"/>
    <w:rsid w:val="001A0782"/>
    <w:rsid w:val="001A6B62"/>
    <w:rsid w:val="001B3A2B"/>
    <w:rsid w:val="001F034E"/>
    <w:rsid w:val="001F679B"/>
    <w:rsid w:val="00294DBA"/>
    <w:rsid w:val="002B6C2D"/>
    <w:rsid w:val="002C62B4"/>
    <w:rsid w:val="00322D57"/>
    <w:rsid w:val="00327286"/>
    <w:rsid w:val="00330F90"/>
    <w:rsid w:val="00335349"/>
    <w:rsid w:val="003C1AD7"/>
    <w:rsid w:val="003C4CF8"/>
    <w:rsid w:val="003C6F96"/>
    <w:rsid w:val="003E6693"/>
    <w:rsid w:val="00473C47"/>
    <w:rsid w:val="00485878"/>
    <w:rsid w:val="004A6061"/>
    <w:rsid w:val="004D701F"/>
    <w:rsid w:val="004E159E"/>
    <w:rsid w:val="005010C4"/>
    <w:rsid w:val="005107E1"/>
    <w:rsid w:val="005370B8"/>
    <w:rsid w:val="00542698"/>
    <w:rsid w:val="005A0DCF"/>
    <w:rsid w:val="005B283A"/>
    <w:rsid w:val="0060088D"/>
    <w:rsid w:val="0061485D"/>
    <w:rsid w:val="0062265A"/>
    <w:rsid w:val="006C6412"/>
    <w:rsid w:val="006D5270"/>
    <w:rsid w:val="006E4B40"/>
    <w:rsid w:val="006E5771"/>
    <w:rsid w:val="00702618"/>
    <w:rsid w:val="00705F2D"/>
    <w:rsid w:val="00773626"/>
    <w:rsid w:val="007A0516"/>
    <w:rsid w:val="007C11E2"/>
    <w:rsid w:val="0081762D"/>
    <w:rsid w:val="00833B43"/>
    <w:rsid w:val="00841044"/>
    <w:rsid w:val="00863CCD"/>
    <w:rsid w:val="00871427"/>
    <w:rsid w:val="00872120"/>
    <w:rsid w:val="00873527"/>
    <w:rsid w:val="008A3643"/>
    <w:rsid w:val="008A7183"/>
    <w:rsid w:val="008C224E"/>
    <w:rsid w:val="008C796D"/>
    <w:rsid w:val="008C7996"/>
    <w:rsid w:val="008C7D47"/>
    <w:rsid w:val="008D6010"/>
    <w:rsid w:val="00906E2D"/>
    <w:rsid w:val="009B5EE1"/>
    <w:rsid w:val="009D1793"/>
    <w:rsid w:val="009D3485"/>
    <w:rsid w:val="009D5CDC"/>
    <w:rsid w:val="00A560A2"/>
    <w:rsid w:val="00A7390A"/>
    <w:rsid w:val="00A752B3"/>
    <w:rsid w:val="00A84CD0"/>
    <w:rsid w:val="00AA08DA"/>
    <w:rsid w:val="00B22E4F"/>
    <w:rsid w:val="00B4670A"/>
    <w:rsid w:val="00B547C9"/>
    <w:rsid w:val="00B55F2A"/>
    <w:rsid w:val="00BA1007"/>
    <w:rsid w:val="00BA59BE"/>
    <w:rsid w:val="00BA7231"/>
    <w:rsid w:val="00BC32D8"/>
    <w:rsid w:val="00BD0857"/>
    <w:rsid w:val="00BD1407"/>
    <w:rsid w:val="00C36231"/>
    <w:rsid w:val="00C71183"/>
    <w:rsid w:val="00C96052"/>
    <w:rsid w:val="00CC1BB9"/>
    <w:rsid w:val="00CD2BAA"/>
    <w:rsid w:val="00CD608E"/>
    <w:rsid w:val="00D233CF"/>
    <w:rsid w:val="00DA65D2"/>
    <w:rsid w:val="00DC4E67"/>
    <w:rsid w:val="00DC7CEE"/>
    <w:rsid w:val="00E46C95"/>
    <w:rsid w:val="00E90C9E"/>
    <w:rsid w:val="00ED0EFF"/>
    <w:rsid w:val="00EE1F18"/>
    <w:rsid w:val="00EE5CE6"/>
    <w:rsid w:val="00F530BA"/>
    <w:rsid w:val="00F86E32"/>
    <w:rsid w:val="00FD24C7"/>
    <w:rsid w:val="00FD5740"/>
    <w:rsid w:val="00FF23D3"/>
    <w:rsid w:val="013830D2"/>
    <w:rsid w:val="01437794"/>
    <w:rsid w:val="03344A05"/>
    <w:rsid w:val="05275651"/>
    <w:rsid w:val="05B86C53"/>
    <w:rsid w:val="081E3E37"/>
    <w:rsid w:val="0CFB35C4"/>
    <w:rsid w:val="13B34670"/>
    <w:rsid w:val="1A3C46BC"/>
    <w:rsid w:val="1B020E5E"/>
    <w:rsid w:val="1C8733A0"/>
    <w:rsid w:val="201D4921"/>
    <w:rsid w:val="20547DB6"/>
    <w:rsid w:val="21602F6F"/>
    <w:rsid w:val="22862C6A"/>
    <w:rsid w:val="245D4345"/>
    <w:rsid w:val="24694EB2"/>
    <w:rsid w:val="25502092"/>
    <w:rsid w:val="2B002CE4"/>
    <w:rsid w:val="2CA10B4F"/>
    <w:rsid w:val="2CAD1D69"/>
    <w:rsid w:val="2EE11733"/>
    <w:rsid w:val="2F923676"/>
    <w:rsid w:val="2FC57EA9"/>
    <w:rsid w:val="301D5EC7"/>
    <w:rsid w:val="33682ACB"/>
    <w:rsid w:val="34185686"/>
    <w:rsid w:val="35313D1A"/>
    <w:rsid w:val="38002C65"/>
    <w:rsid w:val="392E2078"/>
    <w:rsid w:val="3B020811"/>
    <w:rsid w:val="3B2E26FF"/>
    <w:rsid w:val="3C272C37"/>
    <w:rsid w:val="3EDD372A"/>
    <w:rsid w:val="4155672C"/>
    <w:rsid w:val="43BD5ED1"/>
    <w:rsid w:val="449625B7"/>
    <w:rsid w:val="45BD33BC"/>
    <w:rsid w:val="47F24AD5"/>
    <w:rsid w:val="4866291F"/>
    <w:rsid w:val="4B402719"/>
    <w:rsid w:val="4B9C7ABA"/>
    <w:rsid w:val="4C985FBF"/>
    <w:rsid w:val="4D2F5EED"/>
    <w:rsid w:val="4DC60339"/>
    <w:rsid w:val="4EC40453"/>
    <w:rsid w:val="4F7B2ACC"/>
    <w:rsid w:val="50153BC8"/>
    <w:rsid w:val="51E81108"/>
    <w:rsid w:val="52385E17"/>
    <w:rsid w:val="54752240"/>
    <w:rsid w:val="555D267C"/>
    <w:rsid w:val="5653575C"/>
    <w:rsid w:val="577942AD"/>
    <w:rsid w:val="58FF0EBE"/>
    <w:rsid w:val="5998453C"/>
    <w:rsid w:val="5A834766"/>
    <w:rsid w:val="5BED57C7"/>
    <w:rsid w:val="5D2E69AB"/>
    <w:rsid w:val="5DCC4393"/>
    <w:rsid w:val="5F257633"/>
    <w:rsid w:val="60EA0DC0"/>
    <w:rsid w:val="64CE0A00"/>
    <w:rsid w:val="66B00A67"/>
    <w:rsid w:val="6AB93F9D"/>
    <w:rsid w:val="6C8A7DA4"/>
    <w:rsid w:val="714078D6"/>
    <w:rsid w:val="747E39E9"/>
    <w:rsid w:val="74857523"/>
    <w:rsid w:val="77533B6A"/>
    <w:rsid w:val="78CD4DAD"/>
    <w:rsid w:val="79377A43"/>
    <w:rsid w:val="79CC62C5"/>
    <w:rsid w:val="79EF4D86"/>
    <w:rsid w:val="7E5F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3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24"/>
    <w:qFormat/>
    <w:uiPriority w:val="0"/>
    <w:pPr>
      <w:tabs>
        <w:tab w:val="left" w:pos="5882"/>
      </w:tabs>
      <w:adjustRightInd w:val="0"/>
      <w:snapToGrid w:val="0"/>
      <w:spacing w:beforeLines="50"/>
      <w:jc w:val="left"/>
      <w:outlineLvl w:val="1"/>
    </w:pPr>
    <w:rPr>
      <w:rFonts w:ascii="Times New Roman" w:hAnsi="Times New Roman" w:eastAsia="宋体"/>
      <w:b/>
      <w:kern w:val="0"/>
      <w:sz w:val="24"/>
      <w:szCs w:val="24"/>
    </w:rPr>
  </w:style>
  <w:style w:type="paragraph" w:styleId="3">
    <w:name w:val="heading 3"/>
    <w:basedOn w:val="1"/>
    <w:next w:val="1"/>
    <w:link w:val="19"/>
    <w:qFormat/>
    <w:uiPriority w:val="0"/>
    <w:pPr>
      <w:topLinePunct/>
      <w:spacing w:before="120" w:line="480" w:lineRule="exact"/>
      <w:outlineLvl w:val="2"/>
    </w:pPr>
    <w:rPr>
      <w:rFonts w:ascii="Times New Roman" w:hAnsi="Times New Roman" w:eastAsia="楷体_GB2312"/>
      <w:b/>
      <w:bCs/>
      <w:color w:val="000000"/>
      <w:kern w:val="2"/>
      <w:sz w:val="28"/>
      <w:szCs w:val="28"/>
    </w:rPr>
  </w:style>
  <w:style w:type="paragraph" w:styleId="4">
    <w:name w:val="heading 4"/>
    <w:basedOn w:val="1"/>
    <w:next w:val="1"/>
    <w:link w:val="22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kern w:val="2"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6"/>
    <w:next w:val="6"/>
    <w:qFormat/>
    <w:uiPriority w:val="1"/>
    <w:rPr>
      <w:sz w:val="24"/>
      <w:szCs w:val="24"/>
    </w:rPr>
  </w:style>
  <w:style w:type="paragraph" w:styleId="6">
    <w:name w:val="Title"/>
    <w:basedOn w:val="1"/>
    <w:next w:val="1"/>
    <w:qFormat/>
    <w:uiPriority w:val="0"/>
    <w:pPr>
      <w:adjustRightInd w:val="0"/>
      <w:snapToGrid w:val="0"/>
      <w:spacing w:before="240" w:after="60" w:line="360" w:lineRule="auto"/>
      <w:ind w:firstLine="200" w:firstLineChars="200"/>
      <w:jc w:val="center"/>
      <w:outlineLvl w:val="0"/>
    </w:pPr>
    <w:rPr>
      <w:rFonts w:ascii="Cambria" w:hAnsi="Cambria"/>
      <w:b/>
      <w:bCs/>
    </w:rPr>
  </w:style>
  <w:style w:type="paragraph" w:styleId="7">
    <w:name w:val="Plain Text"/>
    <w:basedOn w:val="1"/>
    <w:next w:val="1"/>
    <w:qFormat/>
    <w:uiPriority w:val="0"/>
    <w:rPr>
      <w:rFonts w:ascii="宋体"/>
      <w:snapToGrid w:val="0"/>
      <w:kern w:val="0"/>
      <w:szCs w:val="20"/>
    </w:r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jc w:val="left"/>
    </w:pPr>
    <w:rPr>
      <w:rFonts w:eastAsia="宋体"/>
      <w:kern w:val="0"/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basedOn w:val="16"/>
    <w:qFormat/>
    <w:uiPriority w:val="99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纯文本1"/>
    <w:basedOn w:val="1"/>
    <w:qFormat/>
    <w:uiPriority w:val="0"/>
    <w:pPr>
      <w:suppressAutoHyphens/>
    </w:pPr>
    <w:rPr>
      <w:rFonts w:ascii="宋体" w:hAnsi="宋体" w:eastAsia="宋体" w:cs="Times New Roman"/>
      <w:kern w:val="1"/>
      <w:sz w:val="28"/>
      <w:lang w:eastAsia="ar-SA"/>
    </w:rPr>
  </w:style>
  <w:style w:type="paragraph" w:customStyle="1" w:styleId="17">
    <w:name w:val="Normal Indent1"/>
    <w:basedOn w:val="1"/>
    <w:next w:val="1"/>
    <w:qFormat/>
    <w:uiPriority w:val="99"/>
    <w:pPr>
      <w:ind w:firstLine="420"/>
    </w:pPr>
  </w:style>
  <w:style w:type="paragraph" w:customStyle="1" w:styleId="18">
    <w:name w:val="正本文字"/>
    <w:basedOn w:val="1"/>
    <w:autoRedefine/>
    <w:qFormat/>
    <w:uiPriority w:val="0"/>
    <w:pPr>
      <w:adjustRightInd w:val="0"/>
      <w:snapToGrid w:val="0"/>
      <w:spacing w:line="360" w:lineRule="auto"/>
      <w:ind w:firstLine="480" w:firstLineChars="200"/>
      <w:jc w:val="left"/>
    </w:pPr>
    <w:rPr>
      <w:rFonts w:cs="宋体"/>
      <w:kern w:val="18"/>
      <w:sz w:val="24"/>
    </w:rPr>
  </w:style>
  <w:style w:type="character" w:customStyle="1" w:styleId="19">
    <w:name w:val="标题 3 字符"/>
    <w:link w:val="3"/>
    <w:qFormat/>
    <w:uiPriority w:val="0"/>
    <w:rPr>
      <w:rFonts w:eastAsia="楷体_GB2312"/>
      <w:b/>
      <w:bCs/>
      <w:color w:val="000000"/>
      <w:kern w:val="2"/>
      <w:sz w:val="28"/>
      <w:szCs w:val="28"/>
    </w:rPr>
  </w:style>
  <w:style w:type="character" w:customStyle="1" w:styleId="20">
    <w:name w:val="标题 3 Char"/>
    <w:semiHidden/>
    <w:qFormat/>
    <w:uiPriority w:val="0"/>
    <w:rPr>
      <w:rFonts w:ascii="Calibri" w:hAnsi="Calibri" w:eastAsia="方正仿宋_GBK"/>
      <w:b/>
      <w:bCs/>
      <w:kern w:val="32"/>
      <w:sz w:val="32"/>
      <w:szCs w:val="32"/>
    </w:rPr>
  </w:style>
  <w:style w:type="character" w:customStyle="1" w:styleId="21">
    <w:name w:val="页眉 字符"/>
    <w:link w:val="9"/>
    <w:qFormat/>
    <w:uiPriority w:val="0"/>
    <w:rPr>
      <w:rFonts w:ascii="Calibri" w:hAnsi="Calibri" w:eastAsia="方正仿宋_GBK"/>
      <w:kern w:val="32"/>
      <w:sz w:val="18"/>
      <w:szCs w:val="18"/>
    </w:rPr>
  </w:style>
  <w:style w:type="character" w:customStyle="1" w:styleId="22">
    <w:name w:val="标题 4 字符"/>
    <w:link w:val="4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23">
    <w:name w:val="页脚 字符"/>
    <w:link w:val="8"/>
    <w:qFormat/>
    <w:uiPriority w:val="0"/>
    <w:rPr>
      <w:rFonts w:ascii="Calibri" w:hAnsi="Calibri" w:eastAsia="方正仿宋_GBK"/>
      <w:kern w:val="32"/>
      <w:sz w:val="18"/>
      <w:szCs w:val="18"/>
    </w:rPr>
  </w:style>
  <w:style w:type="character" w:customStyle="1" w:styleId="24">
    <w:name w:val="标题 2 字符"/>
    <w:link w:val="2"/>
    <w:qFormat/>
    <w:uiPriority w:val="0"/>
    <w:rPr>
      <w:rFonts w:eastAsia="宋体"/>
      <w:b/>
      <w:sz w:val="24"/>
      <w:szCs w:val="24"/>
    </w:rPr>
  </w:style>
  <w:style w:type="character" w:customStyle="1" w:styleId="25">
    <w:name w:val="标题 4 Char"/>
    <w:semiHidden/>
    <w:qFormat/>
    <w:uiPriority w:val="0"/>
    <w:rPr>
      <w:rFonts w:ascii="Cambria" w:hAnsi="Cambria" w:eastAsia="宋体" w:cs="Times New Roman"/>
      <w:b/>
      <w:bCs/>
      <w:kern w:val="32"/>
      <w:sz w:val="28"/>
      <w:szCs w:val="28"/>
    </w:rPr>
  </w:style>
  <w:style w:type="character" w:customStyle="1" w:styleId="26">
    <w:name w:val="正文 旺源文字段落 Char"/>
    <w:link w:val="27"/>
    <w:qFormat/>
    <w:uiPriority w:val="0"/>
    <w:rPr>
      <w:rFonts w:ascii="宋体" w:hAnsi="宋体" w:cs="宋体"/>
      <w:kern w:val="24"/>
      <w:sz w:val="24"/>
      <w:szCs w:val="24"/>
    </w:rPr>
  </w:style>
  <w:style w:type="paragraph" w:customStyle="1" w:styleId="27">
    <w:name w:val="正文 旺源文字段落"/>
    <w:basedOn w:val="1"/>
    <w:link w:val="26"/>
    <w:qFormat/>
    <w:uiPriority w:val="0"/>
    <w:pPr>
      <w:spacing w:line="500" w:lineRule="exact"/>
      <w:ind w:firstLine="420"/>
    </w:pPr>
    <w:rPr>
      <w:rFonts w:ascii="宋体" w:hAnsi="宋体" w:eastAsia="宋体"/>
      <w:kern w:val="24"/>
      <w:sz w:val="24"/>
      <w:szCs w:val="24"/>
    </w:rPr>
  </w:style>
  <w:style w:type="paragraph" w:customStyle="1" w:styleId="28">
    <w:name w:val="LH样式"/>
    <w:basedOn w:val="1"/>
    <w:qFormat/>
    <w:uiPriority w:val="0"/>
    <w:pPr>
      <w:spacing w:line="480" w:lineRule="exact"/>
      <w:ind w:firstLine="520" w:firstLineChars="200"/>
    </w:pPr>
    <w:rPr>
      <w:rFonts w:ascii="Times New Roman" w:hAnsi="Times New Roman" w:eastAsia="宋体"/>
      <w:color w:val="00B0F0"/>
      <w:kern w:val="2"/>
      <w:sz w:val="26"/>
      <w:szCs w:val="26"/>
    </w:rPr>
  </w:style>
  <w:style w:type="paragraph" w:customStyle="1" w:styleId="29">
    <w:name w:val="正文2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/>
      <w:sz w:val="24"/>
      <w:szCs w:val="20"/>
    </w:r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customStyle="1" w:styleId="31">
    <w:name w:val="H正文"/>
    <w:basedOn w:val="1"/>
    <w:qFormat/>
    <w:uiPriority w:val="0"/>
    <w:pPr>
      <w:adjustRightInd w:val="0"/>
      <w:spacing w:line="400" w:lineRule="exact"/>
      <w:ind w:firstLine="200" w:firstLineChars="200"/>
      <w:textAlignment w:val="baseline"/>
    </w:pPr>
    <w:rPr>
      <w:rFonts w:ascii="Times New Roman" w:hAnsi="Times New Roman" w:eastAsia="宋体"/>
      <w:snapToGrid w:val="0"/>
      <w:spacing w:val="6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3394</Words>
  <Characters>3522</Characters>
  <Lines>97</Lines>
  <Paragraphs>85</Paragraphs>
  <TotalTime>14</TotalTime>
  <ScaleCrop>false</ScaleCrop>
  <LinksUpToDate>false</LinksUpToDate>
  <CharactersWithSpaces>3539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2019-10-22T01:39:00Z</dcterms:created>
  <dc:creator>lenovo</dc:creator>
  <cp:lastModifiedBy>郭丽娜</cp:lastModifiedBy>
  <cp:lastPrinted>2016-09-13T03:08:00Z</cp:lastPrinted>
  <dcterms:modified xsi:type="dcterms:W3CDTF">2026-03-24T09:42:13Z</dcterms:modified>
  <dc:title>曲靖市环境保护局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3CEF583BF2CC490AA79F26AA20C9F946_13</vt:lpwstr>
  </property>
  <property fmtid="{D5CDD505-2E9C-101B-9397-08002B2CF9AE}" pid="4" name="KSOTemplateDocerSaveRecord">
    <vt:lpwstr>eyJoZGlkIjoiYTA0OTFiNTllN2E3YTc2MDc5ZTIwYTg0ZjFlZjFlMWQiLCJ1c2VySWQiOiIzNzMyMDUyODEifQ==</vt:lpwstr>
  </property>
</Properties>
</file>