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糖果制品（含巧克力及制品）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糖果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食品中污染物限量》、《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GB4789.2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食品微生物学检验菌落总数测定》、《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GB4789.3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食品微生物学检验大肠菌群计数》等标准及产品明示标准和指标的要求。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计）、糖精钠（以糖精计）、合成着色剂（柠檬黄、苋菜红、胭脂红、日落黄）、相同色泽着色剂混合使用时各自用量占其最大使用量的比例之和、菌落总数、大肠菌群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巧克力及巧克力制品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巧克力、巧克力制品、代可可脂巧克力及代可可脂巧克力制品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铅（以Pb计）、沙门氏菌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果冻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山梨酸及其钾盐（以山梨酸计）、苯甲酸及其钠盐（以苯甲酸计）、糖精钠（以糖精计）、甜蜜素（以环己基氨基磺酸计）、菌落总数、大肠菌群、霉菌、酵母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50475DCD"/>
    <w:rsid w:val="50EE2E2C"/>
    <w:rsid w:val="58B5022B"/>
    <w:rsid w:val="63BD273C"/>
    <w:rsid w:val="65735574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2024-05-20T08:08:34Z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B9FC4F0C07EA4B998A9F898585947C1A</vt:lpwstr>
  </property>
</Properties>
</file>