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CD231">
      <w:pPr>
        <w:keepNext w:val="0"/>
        <w:keepLines w:val="0"/>
        <w:widowControl w:val="0"/>
        <w:suppressLineNumbers w:val="0"/>
        <w:overflowPunct w:val="0"/>
        <w:autoSpaceDE w:val="0"/>
        <w:autoSpaceDN w:val="0"/>
        <w:spacing w:before="0" w:beforeAutospacing="0" w:after="0" w:afterAutospacing="0" w:line="560" w:lineRule="exact"/>
        <w:ind w:left="0" w:right="0"/>
        <w:jc w:val="left"/>
        <w:rPr>
          <w:rFonts w:hint="eastAsia" w:ascii="方正黑体_GBK" w:hAnsi="方正黑体_GBK" w:eastAsia="方正黑体_GBK" w:cs="方正黑体_GBK"/>
          <w:b w:val="0"/>
          <w:bCs w:val="0"/>
          <w:color w:val="000000"/>
          <w:spacing w:val="11"/>
          <w:kern w:val="2"/>
          <w:sz w:val="28"/>
          <w:szCs w:val="28"/>
          <w:highlight w:val="none"/>
          <w:lang w:val="en-US" w:eastAsia="zh-CN" w:bidi="ar"/>
        </w:rPr>
      </w:pPr>
      <w:r>
        <w:rPr>
          <w:rFonts w:hint="eastAsia" w:ascii="方正黑体_GBK" w:hAnsi="方正黑体_GBK" w:eastAsia="方正黑体_GBK" w:cs="方正黑体_GBK"/>
          <w:b w:val="0"/>
          <w:bCs w:val="0"/>
          <w:color w:val="000000"/>
          <w:spacing w:val="11"/>
          <w:kern w:val="2"/>
          <w:sz w:val="28"/>
          <w:szCs w:val="28"/>
          <w:highlight w:val="none"/>
          <w:lang w:val="en-US" w:eastAsia="zh-CN" w:bidi="ar"/>
        </w:rPr>
        <w:t>附件1</w:t>
      </w:r>
    </w:p>
    <w:p w14:paraId="31F85239">
      <w:pPr>
        <w:keepNext w:val="0"/>
        <w:keepLines w:val="0"/>
        <w:widowControl w:val="0"/>
        <w:suppressLineNumbers w:val="0"/>
        <w:overflowPunct w:val="0"/>
        <w:autoSpaceDE w:val="0"/>
        <w:autoSpaceDN w:val="0"/>
        <w:spacing w:before="0" w:beforeAutospacing="0" w:after="0" w:afterAutospacing="0" w:line="560" w:lineRule="exact"/>
        <w:ind w:left="0" w:right="0"/>
        <w:jc w:val="center"/>
        <w:rPr>
          <w:rFonts w:hint="eastAsia" w:ascii="Times New Roman" w:hAnsi="Times New Roman" w:eastAsia="方正小标宋_GBK" w:cs="Times New Roman"/>
          <w:b w:val="0"/>
          <w:bCs w:val="0"/>
          <w:color w:val="000000"/>
          <w:spacing w:val="11"/>
          <w:kern w:val="2"/>
          <w:sz w:val="44"/>
          <w:szCs w:val="44"/>
          <w:highlight w:val="none"/>
        </w:rPr>
      </w:pPr>
      <w:r>
        <w:rPr>
          <w:rFonts w:hint="eastAsia" w:ascii="方正小标宋_GBK" w:hAnsi="方正小标宋_GBK" w:eastAsia="方正小标宋_GBK" w:cs="方正小标宋_GBK"/>
          <w:b w:val="0"/>
          <w:bCs w:val="0"/>
          <w:color w:val="000000"/>
          <w:spacing w:val="11"/>
          <w:kern w:val="2"/>
          <w:sz w:val="44"/>
          <w:szCs w:val="44"/>
          <w:highlight w:val="none"/>
          <w:lang w:val="en-US" w:eastAsia="zh-CN" w:bidi="ar"/>
        </w:rPr>
        <w:t>曲靖市管道燃气配气价格校核</w:t>
      </w:r>
    </w:p>
    <w:p w14:paraId="3AC8061E">
      <w:pPr>
        <w:keepNext w:val="0"/>
        <w:keepLines w:val="0"/>
        <w:widowControl w:val="0"/>
        <w:suppressLineNumbers w:val="0"/>
        <w:overflowPunct w:val="0"/>
        <w:autoSpaceDE w:val="0"/>
        <w:autoSpaceDN w:val="0"/>
        <w:spacing w:before="0" w:beforeAutospacing="0" w:after="0" w:afterAutospacing="0" w:line="560" w:lineRule="exact"/>
        <w:ind w:left="0" w:right="0"/>
        <w:jc w:val="center"/>
        <w:rPr>
          <w:rFonts w:hint="default" w:ascii="Times New Roman" w:hAnsi="Times New Roman" w:eastAsia="方正小标宋_GBK" w:cs="Times New Roman"/>
          <w:b w:val="0"/>
          <w:bCs w:val="0"/>
          <w:color w:val="000000"/>
          <w:spacing w:val="11"/>
          <w:kern w:val="2"/>
          <w:sz w:val="44"/>
          <w:szCs w:val="44"/>
          <w:highlight w:val="none"/>
        </w:rPr>
      </w:pPr>
      <w:r>
        <w:rPr>
          <w:rFonts w:hint="eastAsia" w:ascii="方正小标宋_GBK" w:hAnsi="方正小标宋_GBK" w:eastAsia="方正小标宋_GBK" w:cs="方正小标宋_GBK"/>
          <w:b w:val="0"/>
          <w:bCs w:val="0"/>
          <w:color w:val="000000"/>
          <w:spacing w:val="11"/>
          <w:kern w:val="2"/>
          <w:sz w:val="44"/>
          <w:szCs w:val="44"/>
          <w:highlight w:val="none"/>
          <w:lang w:val="en-US" w:eastAsia="zh-CN" w:bidi="ar"/>
        </w:rPr>
        <w:t>及天然气上下游价格联动机制方案</w:t>
      </w:r>
    </w:p>
    <w:p w14:paraId="37F6A44C">
      <w:pPr>
        <w:pStyle w:val="10"/>
        <w:keepNext w:val="0"/>
        <w:keepLines w:val="0"/>
        <w:widowControl w:val="0"/>
        <w:suppressLineNumbers w:val="0"/>
        <w:autoSpaceDE w:val="0"/>
        <w:autoSpaceDN/>
        <w:spacing w:before="0" w:beforeAutospacing="1" w:after="0" w:afterAutospacing="0" w:line="560" w:lineRule="exact"/>
        <w:ind w:left="0" w:right="0"/>
        <w:jc w:val="center"/>
        <w:rPr>
          <w:rFonts w:hint="eastAsia" w:ascii="方正楷体_GBK" w:hAnsi="方正楷体_GBK" w:eastAsia="方正楷体_GBK" w:cs="方正楷体_GBK"/>
          <w:color w:val="000000"/>
          <w:kern w:val="2"/>
          <w:sz w:val="32"/>
          <w:szCs w:val="32"/>
          <w:highlight w:val="none"/>
        </w:rPr>
      </w:pPr>
      <w:r>
        <w:rPr>
          <w:rFonts w:hint="eastAsia" w:ascii="方正楷体_GBK" w:hAnsi="方正楷体_GBK" w:eastAsia="方正楷体_GBK" w:cs="方正楷体_GBK"/>
          <w:color w:val="000000"/>
          <w:kern w:val="2"/>
          <w:sz w:val="32"/>
          <w:szCs w:val="32"/>
          <w:highlight w:val="none"/>
          <w:lang w:val="en-US" w:eastAsia="zh-CN" w:bidi="ar"/>
        </w:rPr>
        <w:t>（听证稿）</w:t>
      </w:r>
    </w:p>
    <w:p w14:paraId="09C295E1">
      <w:pPr>
        <w:keepNext w:val="0"/>
        <w:keepLines w:val="0"/>
        <w:widowControl w:val="0"/>
        <w:suppressLineNumbers w:val="0"/>
        <w:autoSpaceDE w:val="0"/>
        <w:autoSpaceDN/>
        <w:spacing w:before="0" w:beforeAutospacing="0" w:after="0" w:afterAutospacing="0" w:line="560" w:lineRule="exact"/>
        <w:ind w:left="0" w:right="0" w:firstLine="640" w:firstLineChars="200"/>
        <w:jc w:val="both"/>
        <w:rPr>
          <w:rFonts w:hint="default"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lang w:val="en-US" w:eastAsia="zh-CN" w:bidi="ar"/>
        </w:rPr>
        <w:t xml:space="preserve"> </w:t>
      </w:r>
    </w:p>
    <w:p w14:paraId="5D279C3C">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为贯彻落实国家、省关于持续深化天然气价格改革要求，完善天然气价格形成机制，</w:t>
      </w:r>
      <w:r>
        <w:rPr>
          <w:rFonts w:hint="eastAsia" w:ascii="方正仿宋_GBK" w:hAnsi="方正仿宋_GBK" w:eastAsia="方正仿宋_GBK" w:cs="方正仿宋_GBK"/>
          <w:color w:val="000000"/>
          <w:spacing w:val="11"/>
          <w:kern w:val="2"/>
          <w:sz w:val="32"/>
          <w:szCs w:val="32"/>
          <w:highlight w:val="none"/>
          <w:lang w:val="en-US" w:eastAsia="zh-CN" w:bidi="ar"/>
        </w:rPr>
        <w:t>建立能够灵活反映市场供需变化的终端价格机制，</w:t>
      </w:r>
      <w:r>
        <w:rPr>
          <w:rFonts w:hint="eastAsia" w:ascii="方正仿宋_GBK" w:hAnsi="方正仿宋_GBK" w:eastAsia="方正仿宋_GBK" w:cs="方正仿宋_GBK"/>
          <w:color w:val="000000"/>
          <w:spacing w:val="6"/>
          <w:kern w:val="2"/>
          <w:sz w:val="32"/>
          <w:szCs w:val="32"/>
          <w:highlight w:val="none"/>
          <w:lang w:val="en-US" w:eastAsia="zh-CN" w:bidi="ar"/>
        </w:rPr>
        <w:t>发挥市场配置资源的决定性作用，适应气源多元化发展，</w:t>
      </w:r>
      <w:r>
        <w:rPr>
          <w:rFonts w:hint="eastAsia" w:ascii="方正仿宋_GBK" w:hAnsi="方正仿宋_GBK" w:eastAsia="方正仿宋_GBK" w:cs="方正仿宋_GBK"/>
          <w:color w:val="000000"/>
          <w:spacing w:val="11"/>
          <w:kern w:val="2"/>
          <w:sz w:val="32"/>
          <w:szCs w:val="32"/>
          <w:highlight w:val="none"/>
          <w:lang w:val="en-US" w:eastAsia="zh-CN" w:bidi="ar"/>
        </w:rPr>
        <w:t>保障天然气安全稳定供应，</w:t>
      </w:r>
      <w:r>
        <w:rPr>
          <w:rFonts w:hint="eastAsia" w:ascii="方正仿宋_GBK" w:hAnsi="方正仿宋_GBK" w:eastAsia="方正仿宋_GBK" w:cs="方正仿宋_GBK"/>
          <w:kern w:val="2"/>
          <w:sz w:val="32"/>
          <w:szCs w:val="32"/>
          <w:highlight w:val="none"/>
          <w:lang w:val="en-US" w:eastAsia="zh-CN" w:bidi="ar"/>
        </w:rPr>
        <w:t>根据《国家发展改革委关于建立健全天然气上下游价格联动机制的指导意见》</w:t>
      </w:r>
      <w:r>
        <w:rPr>
          <w:rFonts w:hint="eastAsia" w:ascii="方正仿宋_GBK" w:hAnsi="方正仿宋_GBK" w:eastAsia="方正仿宋_GBK" w:cs="方正仿宋_GBK"/>
          <w:color w:val="000000"/>
          <w:spacing w:val="11"/>
          <w:kern w:val="2"/>
          <w:sz w:val="32"/>
          <w:szCs w:val="32"/>
          <w:highlight w:val="none"/>
          <w:lang w:val="en-US" w:eastAsia="zh-CN" w:bidi="ar"/>
        </w:rPr>
        <w:t>《云南省发展和改革委员会关于建立健全天然气上下游价格联动机制的通知》</w:t>
      </w:r>
      <w:r>
        <w:rPr>
          <w:rFonts w:hint="eastAsia" w:ascii="方正仿宋_GBK" w:hAnsi="方正仿宋_GBK" w:eastAsia="方正仿宋_GBK" w:cs="方正仿宋_GBK"/>
          <w:color w:val="000000"/>
          <w:kern w:val="2"/>
          <w:sz w:val="32"/>
          <w:szCs w:val="32"/>
          <w:highlight w:val="none"/>
          <w:lang w:val="en-US" w:eastAsia="zh-CN" w:bidi="ar"/>
        </w:rPr>
        <w:t>《云南省城镇管道燃气配气价格管理办法》</w:t>
      </w:r>
      <w:r>
        <w:rPr>
          <w:rFonts w:hint="eastAsia" w:ascii="方正仿宋_GBK" w:hAnsi="方正仿宋_GBK" w:eastAsia="方正仿宋_GBK" w:cs="方正仿宋_GBK"/>
          <w:color w:val="000000"/>
          <w:spacing w:val="11"/>
          <w:kern w:val="2"/>
          <w:sz w:val="32"/>
          <w:szCs w:val="32"/>
          <w:highlight w:val="none"/>
          <w:lang w:val="en-US" w:eastAsia="zh-CN" w:bidi="ar"/>
        </w:rPr>
        <w:t>等文件精神，结合曲靖实际，</w:t>
      </w:r>
      <w:r>
        <w:rPr>
          <w:rFonts w:hint="eastAsia" w:ascii="方正仿宋_GBK" w:hAnsi="方正仿宋_GBK" w:eastAsia="方正仿宋_GBK" w:cs="方正仿宋_GBK"/>
          <w:color w:val="000000"/>
          <w:kern w:val="0"/>
          <w:sz w:val="32"/>
          <w:szCs w:val="32"/>
          <w:highlight w:val="none"/>
          <w:lang w:val="en-US" w:eastAsia="zh-CN" w:bidi="ar"/>
        </w:rPr>
        <w:t>制定本</w:t>
      </w:r>
      <w:r>
        <w:rPr>
          <w:rFonts w:hint="eastAsia" w:ascii="方正仿宋_GBK" w:hAnsi="方正仿宋_GBK" w:eastAsia="方正仿宋_GBK" w:cs="方正仿宋_GBK"/>
          <w:color w:val="000000"/>
          <w:spacing w:val="11"/>
          <w:kern w:val="2"/>
          <w:sz w:val="32"/>
          <w:szCs w:val="32"/>
          <w:highlight w:val="none"/>
          <w:lang w:val="en-US" w:eastAsia="zh-CN" w:bidi="ar"/>
        </w:rPr>
        <w:t>方案</w:t>
      </w:r>
      <w:r>
        <w:rPr>
          <w:rFonts w:hint="eastAsia" w:ascii="方正仿宋_GBK" w:hAnsi="方正仿宋_GBK" w:eastAsia="方正仿宋_GBK" w:cs="方正仿宋_GBK"/>
          <w:color w:val="000000"/>
          <w:kern w:val="0"/>
          <w:sz w:val="32"/>
          <w:szCs w:val="32"/>
          <w:highlight w:val="none"/>
          <w:lang w:val="en-US" w:eastAsia="zh-CN" w:bidi="ar"/>
        </w:rPr>
        <w:t>。</w:t>
      </w:r>
      <w:r>
        <w:rPr>
          <w:rFonts w:hint="default" w:ascii="Times New Roman" w:hAnsi="Times New Roman" w:eastAsia="方正仿宋_GBK" w:cs="Times New Roman"/>
          <w:color w:val="000000"/>
          <w:kern w:val="0"/>
          <w:sz w:val="32"/>
          <w:szCs w:val="32"/>
          <w:highlight w:val="none"/>
          <w:lang w:val="en-US" w:eastAsia="zh-CN" w:bidi="ar"/>
        </w:rPr>
        <w:t xml:space="preserve"> </w:t>
      </w:r>
    </w:p>
    <w:p w14:paraId="1E44E8E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color w:val="000000"/>
          <w:kern w:val="2"/>
          <w:sz w:val="32"/>
          <w:szCs w:val="32"/>
          <w:highlight w:val="none"/>
        </w:rPr>
      </w:pPr>
      <w:r>
        <w:rPr>
          <w:rFonts w:hint="eastAsia" w:ascii="方正黑体_GBK" w:hAnsi="方正黑体_GBK" w:eastAsia="方正黑体_GBK" w:cs="方正黑体_GBK"/>
          <w:color w:val="000000"/>
          <w:kern w:val="0"/>
          <w:sz w:val="32"/>
          <w:szCs w:val="32"/>
          <w:highlight w:val="none"/>
          <w:lang w:val="en-US" w:eastAsia="zh-CN" w:bidi="ar"/>
        </w:rPr>
        <w:t>一、天然气供应及企业基本情况</w:t>
      </w:r>
    </w:p>
    <w:p w14:paraId="1AE79B2D">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kern w:val="2"/>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监审核定全市年配送气总量约为</w:t>
      </w:r>
      <w:r>
        <w:rPr>
          <w:rFonts w:hint="default" w:ascii="Times New Roman" w:hAnsi="Times New Roman" w:eastAsia="方正仿宋_GBK" w:cs="Times New Roman"/>
          <w:color w:val="000000"/>
          <w:kern w:val="0"/>
          <w:sz w:val="32"/>
          <w:szCs w:val="32"/>
          <w:highlight w:val="none"/>
          <w:lang w:val="en-US" w:eastAsia="zh-CN" w:bidi="ar"/>
        </w:rPr>
        <w:t>18312</w:t>
      </w:r>
      <w:r>
        <w:rPr>
          <w:rFonts w:hint="eastAsia" w:ascii="方正仿宋_GBK" w:hAnsi="方正仿宋_GBK" w:eastAsia="方正仿宋_GBK" w:cs="方正仿宋_GBK"/>
          <w:color w:val="000000"/>
          <w:kern w:val="0"/>
          <w:sz w:val="32"/>
          <w:szCs w:val="32"/>
          <w:highlight w:val="none"/>
          <w:lang w:val="en-US" w:eastAsia="zh-CN" w:bidi="ar"/>
        </w:rPr>
        <w:t>万立方米，其中，中缅管道天然气气量约</w:t>
      </w:r>
      <w:r>
        <w:rPr>
          <w:rFonts w:hint="default" w:ascii="Times New Roman" w:hAnsi="Times New Roman" w:eastAsia="方正仿宋_GBK" w:cs="Times New Roman"/>
          <w:color w:val="000000"/>
          <w:kern w:val="0"/>
          <w:sz w:val="32"/>
          <w:szCs w:val="32"/>
          <w:highlight w:val="none"/>
          <w:lang w:val="en-US" w:eastAsia="zh-CN" w:bidi="ar"/>
        </w:rPr>
        <w:t>16576</w:t>
      </w:r>
      <w:r>
        <w:rPr>
          <w:rFonts w:hint="eastAsia" w:ascii="方正仿宋_GBK" w:hAnsi="方正仿宋_GBK" w:eastAsia="方正仿宋_GBK" w:cs="方正仿宋_GBK"/>
          <w:color w:val="000000"/>
          <w:kern w:val="0"/>
          <w:sz w:val="32"/>
          <w:szCs w:val="32"/>
          <w:highlight w:val="none"/>
          <w:lang w:val="en-US" w:eastAsia="zh-CN" w:bidi="ar"/>
        </w:rPr>
        <w:t>万立方米，占比约</w:t>
      </w:r>
      <w:r>
        <w:rPr>
          <w:rFonts w:hint="default" w:ascii="Times New Roman" w:hAnsi="Times New Roman" w:eastAsia="方正仿宋_GBK" w:cs="Times New Roman"/>
          <w:color w:val="000000"/>
          <w:kern w:val="0"/>
          <w:sz w:val="32"/>
          <w:szCs w:val="32"/>
          <w:highlight w:val="none"/>
          <w:lang w:val="en-US" w:eastAsia="zh-CN" w:bidi="ar"/>
        </w:rPr>
        <w:t>90%</w:t>
      </w:r>
      <w:r>
        <w:rPr>
          <w:rFonts w:hint="eastAsia" w:ascii="方正仿宋_GBK" w:hAnsi="方正仿宋_GBK" w:eastAsia="方正仿宋_GBK" w:cs="方正仿宋_GBK"/>
          <w:color w:val="000000"/>
          <w:kern w:val="0"/>
          <w:sz w:val="32"/>
          <w:szCs w:val="32"/>
          <w:highlight w:val="none"/>
          <w:lang w:val="en-US" w:eastAsia="zh-CN" w:bidi="ar"/>
        </w:rPr>
        <w:t>；液化天然气（</w:t>
      </w:r>
      <w:r>
        <w:rPr>
          <w:rFonts w:hint="default" w:ascii="Times New Roman" w:hAnsi="Times New Roman" w:eastAsia="方正仿宋_GBK" w:cs="Times New Roman"/>
          <w:color w:val="000000"/>
          <w:kern w:val="0"/>
          <w:sz w:val="32"/>
          <w:szCs w:val="32"/>
          <w:highlight w:val="none"/>
          <w:lang w:val="en-US" w:eastAsia="zh-CN" w:bidi="ar"/>
        </w:rPr>
        <w:t>LNG</w:t>
      </w:r>
      <w:r>
        <w:rPr>
          <w:rFonts w:hint="eastAsia" w:ascii="方正仿宋_GBK" w:hAnsi="方正仿宋_GBK" w:eastAsia="方正仿宋_GBK" w:cs="方正仿宋_GBK"/>
          <w:color w:val="000000"/>
          <w:kern w:val="0"/>
          <w:sz w:val="32"/>
          <w:szCs w:val="32"/>
          <w:highlight w:val="none"/>
          <w:lang w:val="en-US" w:eastAsia="zh-CN" w:bidi="ar"/>
        </w:rPr>
        <w:t>）和压缩天然气（</w:t>
      </w:r>
      <w:r>
        <w:rPr>
          <w:rFonts w:hint="default" w:ascii="Times New Roman" w:hAnsi="Times New Roman" w:eastAsia="方正仿宋_GBK" w:cs="Times New Roman"/>
          <w:color w:val="000000"/>
          <w:kern w:val="0"/>
          <w:sz w:val="32"/>
          <w:szCs w:val="32"/>
          <w:highlight w:val="none"/>
          <w:lang w:val="en-US" w:eastAsia="zh-CN" w:bidi="ar"/>
        </w:rPr>
        <w:t>CNG</w:t>
      </w:r>
      <w:r>
        <w:rPr>
          <w:rFonts w:hint="eastAsia" w:ascii="方正仿宋_GBK" w:hAnsi="方正仿宋_GBK" w:eastAsia="方正仿宋_GBK" w:cs="方正仿宋_GBK"/>
          <w:color w:val="000000"/>
          <w:kern w:val="0"/>
          <w:sz w:val="32"/>
          <w:szCs w:val="32"/>
          <w:highlight w:val="none"/>
          <w:lang w:val="en-US" w:eastAsia="zh-CN" w:bidi="ar"/>
        </w:rPr>
        <w:t>）气量约</w:t>
      </w:r>
      <w:r>
        <w:rPr>
          <w:rFonts w:hint="default" w:ascii="Times New Roman" w:hAnsi="Times New Roman" w:eastAsia="方正仿宋_GBK" w:cs="Times New Roman"/>
          <w:color w:val="000000"/>
          <w:kern w:val="0"/>
          <w:sz w:val="32"/>
          <w:szCs w:val="32"/>
          <w:highlight w:val="none"/>
          <w:lang w:val="en-US" w:eastAsia="zh-CN" w:bidi="ar"/>
        </w:rPr>
        <w:t>1736</w:t>
      </w:r>
      <w:r>
        <w:rPr>
          <w:rFonts w:hint="eastAsia" w:ascii="方正仿宋_GBK" w:hAnsi="方正仿宋_GBK" w:eastAsia="方正仿宋_GBK" w:cs="方正仿宋_GBK"/>
          <w:color w:val="000000"/>
          <w:kern w:val="0"/>
          <w:sz w:val="32"/>
          <w:szCs w:val="32"/>
          <w:highlight w:val="none"/>
          <w:lang w:val="en-US" w:eastAsia="zh-CN" w:bidi="ar"/>
        </w:rPr>
        <w:t>万立方米，占比约</w:t>
      </w:r>
      <w:r>
        <w:rPr>
          <w:rFonts w:hint="default" w:ascii="Times New Roman" w:hAnsi="Times New Roman" w:eastAsia="方正仿宋_GBK" w:cs="Times New Roman"/>
          <w:color w:val="000000"/>
          <w:kern w:val="0"/>
          <w:sz w:val="32"/>
          <w:szCs w:val="32"/>
          <w:highlight w:val="none"/>
          <w:lang w:val="en-US" w:eastAsia="zh-CN" w:bidi="ar"/>
        </w:rPr>
        <w:t>10%</w:t>
      </w:r>
      <w:r>
        <w:rPr>
          <w:rFonts w:hint="eastAsia" w:ascii="方正仿宋_GBK" w:hAnsi="方正仿宋_GBK" w:eastAsia="方正仿宋_GBK" w:cs="方正仿宋_GBK"/>
          <w:color w:val="000000"/>
          <w:kern w:val="0"/>
          <w:sz w:val="32"/>
          <w:szCs w:val="32"/>
          <w:highlight w:val="none"/>
          <w:lang w:val="en-US" w:eastAsia="zh-CN" w:bidi="ar"/>
        </w:rPr>
        <w:t>。居民用气约</w:t>
      </w:r>
      <w:r>
        <w:rPr>
          <w:rFonts w:hint="default" w:ascii="Times New Roman" w:hAnsi="Times New Roman" w:eastAsia="方正仿宋_GBK" w:cs="Times New Roman"/>
          <w:color w:val="000000"/>
          <w:kern w:val="0"/>
          <w:sz w:val="32"/>
          <w:szCs w:val="32"/>
          <w:highlight w:val="none"/>
          <w:lang w:val="en-US" w:eastAsia="zh-CN" w:bidi="ar"/>
        </w:rPr>
        <w:t>1099</w:t>
      </w:r>
      <w:r>
        <w:rPr>
          <w:rFonts w:hint="eastAsia" w:ascii="方正仿宋_GBK" w:hAnsi="方正仿宋_GBK" w:eastAsia="方正仿宋_GBK" w:cs="方正仿宋_GBK"/>
          <w:color w:val="000000"/>
          <w:kern w:val="0"/>
          <w:sz w:val="32"/>
          <w:szCs w:val="32"/>
          <w:highlight w:val="none"/>
          <w:lang w:val="en-US" w:eastAsia="zh-CN" w:bidi="ar"/>
        </w:rPr>
        <w:t>万立方米，占比约</w:t>
      </w:r>
      <w:r>
        <w:rPr>
          <w:rFonts w:hint="default" w:ascii="Times New Roman" w:hAnsi="Times New Roman" w:eastAsia="方正仿宋_GBK" w:cs="Times New Roman"/>
          <w:color w:val="000000"/>
          <w:kern w:val="0"/>
          <w:sz w:val="32"/>
          <w:szCs w:val="32"/>
          <w:highlight w:val="none"/>
          <w:lang w:val="en-US" w:eastAsia="zh-CN" w:bidi="ar"/>
        </w:rPr>
        <w:t>6%</w:t>
      </w:r>
      <w:r>
        <w:rPr>
          <w:rFonts w:hint="eastAsia" w:ascii="方正仿宋_GBK" w:hAnsi="方正仿宋_GBK" w:eastAsia="方正仿宋_GBK" w:cs="方正仿宋_GBK"/>
          <w:color w:val="000000"/>
          <w:kern w:val="0"/>
          <w:sz w:val="32"/>
          <w:szCs w:val="32"/>
          <w:highlight w:val="none"/>
          <w:lang w:val="en-US" w:eastAsia="zh-CN" w:bidi="ar"/>
        </w:rPr>
        <w:t>，非居民用气约</w:t>
      </w:r>
      <w:r>
        <w:rPr>
          <w:rFonts w:hint="default" w:ascii="Times New Roman" w:hAnsi="Times New Roman" w:eastAsia="方正仿宋_GBK" w:cs="Times New Roman"/>
          <w:color w:val="000000"/>
          <w:kern w:val="0"/>
          <w:sz w:val="32"/>
          <w:szCs w:val="32"/>
          <w:highlight w:val="none"/>
          <w:lang w:val="en-US" w:eastAsia="zh-CN" w:bidi="ar"/>
        </w:rPr>
        <w:t>17213</w:t>
      </w:r>
      <w:r>
        <w:rPr>
          <w:rFonts w:hint="eastAsia" w:ascii="方正仿宋_GBK" w:hAnsi="方正仿宋_GBK" w:eastAsia="方正仿宋_GBK" w:cs="方正仿宋_GBK"/>
          <w:color w:val="000000"/>
          <w:kern w:val="0"/>
          <w:sz w:val="32"/>
          <w:szCs w:val="32"/>
          <w:highlight w:val="none"/>
          <w:lang w:val="en-US" w:eastAsia="zh-CN" w:bidi="ar"/>
        </w:rPr>
        <w:t>万立方米，占比约</w:t>
      </w:r>
      <w:r>
        <w:rPr>
          <w:rFonts w:hint="default" w:ascii="Times New Roman" w:hAnsi="Times New Roman" w:eastAsia="方正仿宋_GBK" w:cs="Times New Roman"/>
          <w:color w:val="000000"/>
          <w:kern w:val="0"/>
          <w:sz w:val="32"/>
          <w:szCs w:val="32"/>
          <w:highlight w:val="none"/>
          <w:lang w:val="en-US" w:eastAsia="zh-CN" w:bidi="ar"/>
        </w:rPr>
        <w:t>9</w:t>
      </w:r>
      <w:r>
        <w:rPr>
          <w:rFonts w:hint="default" w:ascii="Times New Roman" w:hAnsi="Times New Roman" w:eastAsia="方正仿宋_GBK" w:cs="Times New Roman"/>
          <w:b w:val="0"/>
          <w:bCs w:val="0"/>
          <w:color w:val="000000"/>
          <w:kern w:val="2"/>
          <w:sz w:val="32"/>
          <w:szCs w:val="32"/>
          <w:highlight w:val="none"/>
          <w:lang w:val="en-US" w:eastAsia="zh-CN" w:bidi="ar"/>
        </w:rPr>
        <w:t>4%</w:t>
      </w:r>
      <w:r>
        <w:rPr>
          <w:rFonts w:hint="eastAsia" w:ascii="方正仿宋_GBK" w:hAnsi="方正仿宋_GBK" w:eastAsia="方正仿宋_GBK" w:cs="方正仿宋_GBK"/>
          <w:b w:val="0"/>
          <w:bCs w:val="0"/>
          <w:color w:val="000000"/>
          <w:kern w:val="2"/>
          <w:sz w:val="32"/>
          <w:szCs w:val="32"/>
          <w:highlight w:val="none"/>
          <w:lang w:val="en-US" w:eastAsia="zh-CN" w:bidi="ar"/>
        </w:rPr>
        <w:t>。主要供气企业：云南云投中裕能源有限公司（麒麟区、沾益区、马龙区、师宗县、罗平县、富源县）、曲靖中石油昆仑燃气有限公司（马龙小寨工业园区除外的工业园区）、曲靖市华油天然气有限责任公司（曲靖经济技术开发区）、陆良港华燃气有限公司（陆良县）、云南省天然气宣威新奥燃气有限公司（宣威市）、</w:t>
      </w:r>
      <w:r>
        <w:rPr>
          <w:rFonts w:hint="eastAsia" w:ascii="方正仿宋_GBK" w:hAnsi="方正仿宋_GBK" w:eastAsia="方正仿宋_GBK" w:cs="方正仿宋_GBK"/>
          <w:kern w:val="2"/>
          <w:sz w:val="32"/>
          <w:szCs w:val="32"/>
          <w:highlight w:val="none"/>
          <w:lang w:val="en-US" w:eastAsia="zh-CN" w:bidi="ar"/>
        </w:rPr>
        <w:t>会泽大通天然气有限公司（会泽县）、富源华昊能源开发有限公司（富源县）。</w:t>
      </w:r>
    </w:p>
    <w:p w14:paraId="6D549C5E">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color w:val="000000"/>
          <w:kern w:val="0"/>
          <w:sz w:val="32"/>
          <w:szCs w:val="32"/>
          <w:highlight w:val="none"/>
        </w:rPr>
      </w:pPr>
      <w:r>
        <w:rPr>
          <w:rFonts w:hint="eastAsia" w:ascii="方正黑体_GBK" w:hAnsi="方正黑体_GBK" w:eastAsia="方正黑体_GBK" w:cs="方正黑体_GBK"/>
          <w:color w:val="000000"/>
          <w:kern w:val="0"/>
          <w:sz w:val="32"/>
          <w:szCs w:val="32"/>
          <w:highlight w:val="none"/>
          <w:lang w:val="en-US" w:eastAsia="zh-CN" w:bidi="ar"/>
        </w:rPr>
        <w:t>二、政策依据</w:t>
      </w:r>
    </w:p>
    <w:p w14:paraId="3EC29A38">
      <w:pPr>
        <w:pStyle w:val="18"/>
        <w:keepNext w:val="0"/>
        <w:keepLines w:val="0"/>
        <w:pageBreakBefore w:val="0"/>
        <w:widowControl w:val="0"/>
        <w:numPr>
          <w:ilvl w:val="0"/>
          <w:numId w:val="1"/>
        </w:numPr>
        <w:suppressLineNumbers w:val="0"/>
        <w:tabs>
          <w:tab w:val="left" w:pos="924"/>
        </w:tabs>
        <w:kinsoku/>
        <w:wordWrap/>
        <w:overflowPunct/>
        <w:topLinePunct w:val="0"/>
        <w:autoSpaceDE w:val="0"/>
        <w:autoSpaceDN/>
        <w:bidi w:val="0"/>
        <w:snapToGrid w:val="0"/>
        <w:spacing w:beforeAutospacing="0" w:line="560" w:lineRule="exact"/>
        <w:ind w:left="-109" w:leftChars="0" w:right="0" w:rightChars="0" w:firstLine="420" w:firstLineChars="0"/>
        <w:jc w:val="left"/>
        <w:textAlignment w:val="auto"/>
        <w:rPr>
          <w:rFonts w:hint="default" w:ascii="Times New Roman" w:hAnsi="Times New Roman" w:eastAsia="方正仿宋_GBK" w:cs="Times New Roman"/>
          <w:b w:val="0"/>
          <w:color w:val="000000"/>
          <w:kern w:val="0"/>
          <w:sz w:val="32"/>
          <w:szCs w:val="32"/>
          <w:highlight w:val="none"/>
        </w:rPr>
      </w:pPr>
      <w:r>
        <w:rPr>
          <w:rFonts w:hint="eastAsia" w:ascii="方正仿宋_GBK" w:hAnsi="方正仿宋_GBK" w:eastAsia="方正仿宋_GBK" w:cs="方正仿宋_GBK"/>
          <w:b w:val="0"/>
          <w:color w:val="000000"/>
          <w:kern w:val="0"/>
          <w:sz w:val="32"/>
          <w:szCs w:val="32"/>
          <w:highlight w:val="none"/>
        </w:rPr>
        <w:t>《中华人民共和国价格法》（第八届全国人民代表大会常务委员会第二十九次会议通过）</w:t>
      </w:r>
    </w:p>
    <w:p w14:paraId="74A5DDD0">
      <w:pPr>
        <w:keepNext w:val="0"/>
        <w:keepLines w:val="0"/>
        <w:pageBreakBefore w:val="0"/>
        <w:widowControl w:val="0"/>
        <w:numPr>
          <w:ilvl w:val="0"/>
          <w:numId w:val="1"/>
        </w:numPr>
        <w:suppressLineNumbers w:val="0"/>
        <w:kinsoku/>
        <w:wordWrap/>
        <w:overflowPunct/>
        <w:topLinePunct w:val="0"/>
        <w:autoSpaceDE w:val="0"/>
        <w:autoSpaceDN/>
        <w:bidi w:val="0"/>
        <w:snapToGrid w:val="0"/>
        <w:spacing w:before="0" w:beforeAutospacing="0" w:after="0" w:afterAutospacing="0" w:line="560" w:lineRule="exact"/>
        <w:ind w:left="-109" w:leftChars="0" w:right="0" w:firstLine="420" w:firstLineChars="0"/>
        <w:jc w:val="both"/>
        <w:textAlignment w:val="auto"/>
        <w:rPr>
          <w:rFonts w:hint="default" w:ascii="Times New Roman" w:hAnsi="Times New Roman" w:eastAsia="方正仿宋_GBK" w:cs="Times New Roman"/>
          <w:b w:val="0"/>
          <w:color w:val="000000"/>
          <w:kern w:val="0"/>
          <w:sz w:val="32"/>
          <w:szCs w:val="32"/>
          <w:highlight w:val="none"/>
        </w:rPr>
      </w:pPr>
      <w:r>
        <w:rPr>
          <w:rFonts w:hint="eastAsia" w:ascii="方正仿宋_GBK" w:hAnsi="方正仿宋_GBK" w:eastAsia="方正仿宋_GBK" w:cs="方正仿宋_GBK"/>
          <w:b w:val="0"/>
          <w:color w:val="000000"/>
          <w:kern w:val="0"/>
          <w:sz w:val="32"/>
          <w:szCs w:val="32"/>
          <w:highlight w:val="none"/>
          <w:lang w:val="en-US" w:eastAsia="zh-CN" w:bidi="ar"/>
        </w:rPr>
        <w:t>《政府制定价格行为规则》（国家发展改革委</w:t>
      </w:r>
      <w:r>
        <w:rPr>
          <w:rFonts w:hint="default" w:ascii="Times New Roman" w:hAnsi="Times New Roman" w:eastAsia="方正仿宋_GBK" w:cs="Times New Roman"/>
          <w:b w:val="0"/>
          <w:color w:val="000000"/>
          <w:kern w:val="0"/>
          <w:sz w:val="32"/>
          <w:szCs w:val="32"/>
          <w:highlight w:val="none"/>
          <w:lang w:val="en-US" w:eastAsia="zh-CN" w:bidi="ar"/>
        </w:rPr>
        <w:t>2017</w:t>
      </w:r>
      <w:r>
        <w:rPr>
          <w:rFonts w:hint="eastAsia" w:ascii="方正仿宋_GBK" w:hAnsi="方正仿宋_GBK" w:eastAsia="方正仿宋_GBK" w:cs="方正仿宋_GBK"/>
          <w:b w:val="0"/>
          <w:color w:val="000000"/>
          <w:kern w:val="0"/>
          <w:sz w:val="32"/>
          <w:szCs w:val="32"/>
          <w:highlight w:val="none"/>
          <w:lang w:val="en-US" w:eastAsia="zh-CN" w:bidi="ar"/>
        </w:rPr>
        <w:t>年第</w:t>
      </w:r>
      <w:r>
        <w:rPr>
          <w:rFonts w:hint="default" w:ascii="Times New Roman" w:hAnsi="Times New Roman" w:eastAsia="方正仿宋_GBK" w:cs="Times New Roman"/>
          <w:b w:val="0"/>
          <w:color w:val="000000"/>
          <w:kern w:val="0"/>
          <w:sz w:val="32"/>
          <w:szCs w:val="32"/>
          <w:highlight w:val="none"/>
          <w:lang w:val="en-US" w:eastAsia="zh-CN" w:bidi="ar"/>
        </w:rPr>
        <w:t>7</w:t>
      </w:r>
      <w:r>
        <w:rPr>
          <w:rFonts w:hint="eastAsia" w:ascii="方正仿宋_GBK" w:hAnsi="方正仿宋_GBK" w:eastAsia="方正仿宋_GBK" w:cs="方正仿宋_GBK"/>
          <w:b w:val="0"/>
          <w:color w:val="000000"/>
          <w:kern w:val="0"/>
          <w:sz w:val="32"/>
          <w:szCs w:val="32"/>
          <w:highlight w:val="none"/>
          <w:lang w:val="en-US" w:eastAsia="zh-CN" w:bidi="ar"/>
        </w:rPr>
        <w:t>号令）</w:t>
      </w:r>
    </w:p>
    <w:p w14:paraId="354BFF56">
      <w:pPr>
        <w:keepNext w:val="0"/>
        <w:keepLines w:val="0"/>
        <w:pageBreakBefore w:val="0"/>
        <w:widowControl w:val="0"/>
        <w:numPr>
          <w:ilvl w:val="0"/>
          <w:numId w:val="1"/>
        </w:numPr>
        <w:suppressLineNumbers w:val="0"/>
        <w:kinsoku/>
        <w:wordWrap/>
        <w:overflowPunct/>
        <w:topLinePunct w:val="0"/>
        <w:autoSpaceDE w:val="0"/>
        <w:autoSpaceDN/>
        <w:bidi w:val="0"/>
        <w:adjustRightInd w:val="0"/>
        <w:snapToGrid w:val="0"/>
        <w:spacing w:before="0" w:beforeAutospacing="0" w:after="0" w:afterAutospacing="0" w:line="560" w:lineRule="exact"/>
        <w:ind w:left="-109" w:leftChars="0" w:right="0" w:firstLine="420" w:firstLineChars="0"/>
        <w:jc w:val="both"/>
        <w:textAlignment w:val="auto"/>
        <w:rPr>
          <w:rFonts w:hint="default" w:ascii="Times New Roman" w:hAnsi="Times New Roman" w:eastAsia="方正仿宋_GBK" w:cs="Times New Roman"/>
          <w:b w:val="0"/>
          <w:color w:val="000000"/>
          <w:kern w:val="0"/>
          <w:sz w:val="32"/>
          <w:szCs w:val="32"/>
          <w:highlight w:val="none"/>
        </w:rPr>
      </w:pPr>
      <w:r>
        <w:rPr>
          <w:rFonts w:hint="eastAsia" w:ascii="方正仿宋_GBK" w:hAnsi="方正仿宋_GBK" w:eastAsia="方正仿宋_GBK" w:cs="方正仿宋_GBK"/>
          <w:b w:val="0"/>
          <w:color w:val="000000"/>
          <w:kern w:val="0"/>
          <w:sz w:val="32"/>
          <w:szCs w:val="32"/>
          <w:highlight w:val="none"/>
          <w:lang w:val="en-US" w:eastAsia="zh-CN" w:bidi="ar"/>
        </w:rPr>
        <w:t>《政府制定价格听证办法》（国家发展改革委</w:t>
      </w:r>
      <w:r>
        <w:rPr>
          <w:rFonts w:hint="default" w:ascii="Times New Roman" w:hAnsi="Times New Roman" w:eastAsia="方正仿宋_GBK" w:cs="Times New Roman"/>
          <w:b w:val="0"/>
          <w:color w:val="000000"/>
          <w:kern w:val="0"/>
          <w:sz w:val="32"/>
          <w:szCs w:val="32"/>
          <w:highlight w:val="none"/>
          <w:lang w:val="en-US" w:eastAsia="zh-CN" w:bidi="ar"/>
        </w:rPr>
        <w:t>2018</w:t>
      </w:r>
      <w:r>
        <w:rPr>
          <w:rFonts w:hint="eastAsia" w:ascii="方正仿宋_GBK" w:hAnsi="方正仿宋_GBK" w:eastAsia="方正仿宋_GBK" w:cs="方正仿宋_GBK"/>
          <w:b w:val="0"/>
          <w:color w:val="000000"/>
          <w:kern w:val="0"/>
          <w:sz w:val="32"/>
          <w:szCs w:val="32"/>
          <w:highlight w:val="none"/>
          <w:lang w:val="en-US" w:eastAsia="zh-CN" w:bidi="ar"/>
        </w:rPr>
        <w:t>第</w:t>
      </w:r>
      <w:r>
        <w:rPr>
          <w:rFonts w:hint="default" w:ascii="Times New Roman" w:hAnsi="Times New Roman" w:eastAsia="方正仿宋_GBK" w:cs="Times New Roman"/>
          <w:b w:val="0"/>
          <w:color w:val="000000"/>
          <w:kern w:val="0"/>
          <w:sz w:val="32"/>
          <w:szCs w:val="32"/>
          <w:highlight w:val="none"/>
          <w:lang w:val="en-US" w:eastAsia="zh-CN" w:bidi="ar"/>
        </w:rPr>
        <w:t>21</w:t>
      </w:r>
      <w:r>
        <w:rPr>
          <w:rFonts w:hint="eastAsia" w:ascii="方正仿宋_GBK" w:hAnsi="方正仿宋_GBK" w:eastAsia="方正仿宋_GBK" w:cs="方正仿宋_GBK"/>
          <w:b w:val="0"/>
          <w:color w:val="000000"/>
          <w:kern w:val="0"/>
          <w:sz w:val="32"/>
          <w:szCs w:val="32"/>
          <w:highlight w:val="none"/>
          <w:lang w:val="en-US" w:eastAsia="zh-CN" w:bidi="ar"/>
        </w:rPr>
        <w:t>号令）</w:t>
      </w:r>
    </w:p>
    <w:p w14:paraId="606F7AC3">
      <w:pPr>
        <w:keepNext w:val="0"/>
        <w:keepLines w:val="0"/>
        <w:pageBreakBefore w:val="0"/>
        <w:widowControl w:val="0"/>
        <w:numPr>
          <w:ilvl w:val="0"/>
          <w:numId w:val="1"/>
        </w:numPr>
        <w:suppressLineNumbers w:val="0"/>
        <w:kinsoku/>
        <w:wordWrap/>
        <w:overflowPunct/>
        <w:topLinePunct w:val="0"/>
        <w:autoSpaceDE w:val="0"/>
        <w:autoSpaceDN/>
        <w:bidi w:val="0"/>
        <w:adjustRightInd w:val="0"/>
        <w:snapToGrid w:val="0"/>
        <w:spacing w:before="0" w:beforeAutospacing="0" w:after="0" w:afterAutospacing="0" w:line="560" w:lineRule="exact"/>
        <w:ind w:left="-109" w:leftChars="0" w:right="0" w:firstLine="420" w:firstLineChars="0"/>
        <w:jc w:val="both"/>
        <w:textAlignment w:val="auto"/>
        <w:rPr>
          <w:rFonts w:hint="default" w:ascii="Times New Roman" w:hAnsi="Times New Roman" w:eastAsia="方正仿宋_GBK" w:cs="Times New Roman"/>
          <w:b w:val="0"/>
          <w:color w:val="000000"/>
          <w:kern w:val="0"/>
          <w:sz w:val="32"/>
          <w:szCs w:val="32"/>
          <w:highlight w:val="none"/>
        </w:rPr>
      </w:pPr>
      <w:r>
        <w:rPr>
          <w:rFonts w:hint="eastAsia" w:ascii="方正仿宋_GBK" w:hAnsi="方正仿宋_GBK" w:eastAsia="方正仿宋_GBK" w:cs="方正仿宋_GBK"/>
          <w:b w:val="0"/>
          <w:color w:val="000000"/>
          <w:kern w:val="0"/>
          <w:sz w:val="32"/>
          <w:szCs w:val="32"/>
          <w:highlight w:val="none"/>
          <w:lang w:val="en-US" w:eastAsia="zh-CN" w:bidi="ar"/>
        </w:rPr>
        <w:t>《国家发展改革委关于建立健全居民生活用气阶梯价格制度的指导意见》（发改价格〔</w:t>
      </w:r>
      <w:r>
        <w:rPr>
          <w:rFonts w:hint="default" w:ascii="Times New Roman" w:hAnsi="Times New Roman" w:eastAsia="方正仿宋_GBK" w:cs="Times New Roman"/>
          <w:b w:val="0"/>
          <w:color w:val="000000"/>
          <w:kern w:val="0"/>
          <w:sz w:val="32"/>
          <w:szCs w:val="32"/>
          <w:highlight w:val="none"/>
          <w:lang w:val="en-US" w:eastAsia="zh-CN" w:bidi="ar"/>
        </w:rPr>
        <w:t>2014</w:t>
      </w:r>
      <w:r>
        <w:rPr>
          <w:rFonts w:hint="eastAsia" w:ascii="方正仿宋_GBK" w:hAnsi="方正仿宋_GBK" w:eastAsia="方正仿宋_GBK" w:cs="方正仿宋_GBK"/>
          <w:b w:val="0"/>
          <w:color w:val="000000"/>
          <w:kern w:val="0"/>
          <w:sz w:val="32"/>
          <w:szCs w:val="32"/>
          <w:highlight w:val="none"/>
          <w:lang w:val="en-US" w:eastAsia="zh-CN" w:bidi="ar"/>
        </w:rPr>
        <w:t>〕</w:t>
      </w:r>
      <w:r>
        <w:rPr>
          <w:rFonts w:hint="default" w:ascii="Times New Roman" w:hAnsi="Times New Roman" w:eastAsia="方正仿宋_GBK" w:cs="Times New Roman"/>
          <w:b w:val="0"/>
          <w:color w:val="000000"/>
          <w:kern w:val="0"/>
          <w:sz w:val="32"/>
          <w:szCs w:val="32"/>
          <w:highlight w:val="none"/>
          <w:lang w:val="en-US" w:eastAsia="zh-CN" w:bidi="ar"/>
        </w:rPr>
        <w:t>467</w:t>
      </w:r>
      <w:r>
        <w:rPr>
          <w:rFonts w:hint="eastAsia" w:ascii="方正仿宋_GBK" w:hAnsi="方正仿宋_GBK" w:eastAsia="方正仿宋_GBK" w:cs="方正仿宋_GBK"/>
          <w:b w:val="0"/>
          <w:color w:val="000000"/>
          <w:kern w:val="0"/>
          <w:sz w:val="32"/>
          <w:szCs w:val="32"/>
          <w:highlight w:val="none"/>
          <w:lang w:val="en-US" w:eastAsia="zh-CN" w:bidi="ar"/>
        </w:rPr>
        <w:t>号）</w:t>
      </w:r>
    </w:p>
    <w:p w14:paraId="3D858000">
      <w:pPr>
        <w:keepNext w:val="0"/>
        <w:keepLines w:val="0"/>
        <w:pageBreakBefore w:val="0"/>
        <w:widowControl w:val="0"/>
        <w:numPr>
          <w:ilvl w:val="0"/>
          <w:numId w:val="1"/>
        </w:numPr>
        <w:suppressLineNumbers w:val="0"/>
        <w:kinsoku/>
        <w:wordWrap/>
        <w:overflowPunct/>
        <w:topLinePunct w:val="0"/>
        <w:autoSpaceDE w:val="0"/>
        <w:autoSpaceDN/>
        <w:bidi w:val="0"/>
        <w:adjustRightInd w:val="0"/>
        <w:snapToGrid w:val="0"/>
        <w:spacing w:before="0" w:beforeAutospacing="0" w:after="0" w:afterAutospacing="0" w:line="560" w:lineRule="exact"/>
        <w:ind w:left="-109" w:leftChars="0" w:right="0" w:firstLine="420" w:firstLineChars="0"/>
        <w:jc w:val="both"/>
        <w:textAlignment w:val="auto"/>
        <w:rPr>
          <w:rFonts w:hint="default" w:ascii="Times New Roman" w:hAnsi="Times New Roman" w:eastAsia="方正仿宋_GBK" w:cs="Times New Roman"/>
          <w:b w:val="0"/>
          <w:color w:val="000000"/>
          <w:kern w:val="0"/>
          <w:sz w:val="32"/>
          <w:szCs w:val="32"/>
          <w:highlight w:val="none"/>
        </w:rPr>
      </w:pPr>
      <w:r>
        <w:rPr>
          <w:rFonts w:hint="eastAsia" w:ascii="方正仿宋_GBK" w:hAnsi="方正仿宋_GBK" w:eastAsia="方正仿宋_GBK" w:cs="方正仿宋_GBK"/>
          <w:b w:val="0"/>
          <w:color w:val="000000"/>
          <w:kern w:val="0"/>
          <w:sz w:val="32"/>
          <w:szCs w:val="32"/>
          <w:highlight w:val="none"/>
          <w:lang w:val="en-US" w:eastAsia="zh-CN" w:bidi="ar"/>
        </w:rPr>
        <w:t>《云南省发展和改革委员会关于印发云南省定价目录的通知》（云发改价格〔</w:t>
      </w:r>
      <w:r>
        <w:rPr>
          <w:rFonts w:hint="default" w:ascii="Times New Roman" w:hAnsi="Times New Roman" w:eastAsia="方正仿宋_GBK" w:cs="Times New Roman"/>
          <w:b w:val="0"/>
          <w:color w:val="000000"/>
          <w:kern w:val="0"/>
          <w:sz w:val="32"/>
          <w:szCs w:val="32"/>
          <w:highlight w:val="none"/>
          <w:lang w:val="en-US" w:eastAsia="zh-CN" w:bidi="ar"/>
        </w:rPr>
        <w:t>2021</w:t>
      </w:r>
      <w:r>
        <w:rPr>
          <w:rFonts w:hint="eastAsia" w:ascii="方正仿宋_GBK" w:hAnsi="方正仿宋_GBK" w:eastAsia="方正仿宋_GBK" w:cs="方正仿宋_GBK"/>
          <w:b w:val="0"/>
          <w:color w:val="000000"/>
          <w:kern w:val="0"/>
          <w:sz w:val="32"/>
          <w:szCs w:val="32"/>
          <w:highlight w:val="none"/>
          <w:lang w:val="en-US" w:eastAsia="zh-CN" w:bidi="ar"/>
        </w:rPr>
        <w:t>〕</w:t>
      </w:r>
      <w:r>
        <w:rPr>
          <w:rFonts w:hint="default" w:ascii="Times New Roman" w:hAnsi="Times New Roman" w:eastAsia="方正仿宋_GBK" w:cs="Times New Roman"/>
          <w:b w:val="0"/>
          <w:color w:val="000000"/>
          <w:kern w:val="0"/>
          <w:sz w:val="32"/>
          <w:szCs w:val="32"/>
          <w:highlight w:val="none"/>
          <w:lang w:val="en-US" w:eastAsia="zh-CN" w:bidi="ar"/>
        </w:rPr>
        <w:t>676</w:t>
      </w:r>
      <w:r>
        <w:rPr>
          <w:rFonts w:hint="eastAsia" w:ascii="方正仿宋_GBK" w:hAnsi="方正仿宋_GBK" w:eastAsia="方正仿宋_GBK" w:cs="方正仿宋_GBK"/>
          <w:b w:val="0"/>
          <w:color w:val="000000"/>
          <w:kern w:val="0"/>
          <w:sz w:val="32"/>
          <w:szCs w:val="32"/>
          <w:highlight w:val="none"/>
          <w:lang w:val="en-US" w:eastAsia="zh-CN" w:bidi="ar"/>
        </w:rPr>
        <w:t>号）</w:t>
      </w:r>
    </w:p>
    <w:p w14:paraId="0C699D0D">
      <w:pPr>
        <w:keepNext w:val="0"/>
        <w:keepLines w:val="0"/>
        <w:pageBreakBefore w:val="0"/>
        <w:widowControl w:val="0"/>
        <w:numPr>
          <w:ilvl w:val="0"/>
          <w:numId w:val="1"/>
        </w:numPr>
        <w:suppressLineNumbers w:val="0"/>
        <w:kinsoku/>
        <w:wordWrap/>
        <w:overflowPunct/>
        <w:topLinePunct w:val="0"/>
        <w:autoSpaceDE w:val="0"/>
        <w:autoSpaceDN/>
        <w:bidi w:val="0"/>
        <w:snapToGrid w:val="0"/>
        <w:spacing w:before="0" w:beforeAutospacing="0" w:after="0" w:afterAutospacing="0" w:line="560" w:lineRule="exact"/>
        <w:ind w:left="-109" w:leftChars="0" w:right="0" w:firstLine="420" w:firstLineChars="0"/>
        <w:jc w:val="both"/>
        <w:textAlignment w:val="auto"/>
        <w:rPr>
          <w:rFonts w:hint="default" w:ascii="Times New Roman" w:hAnsi="Times New Roman" w:eastAsia="方正仿宋_GBK" w:cs="Times New Roman"/>
          <w:b w:val="0"/>
          <w:color w:val="000000"/>
          <w:kern w:val="0"/>
          <w:sz w:val="32"/>
          <w:szCs w:val="32"/>
          <w:highlight w:val="none"/>
        </w:rPr>
      </w:pPr>
      <w:r>
        <w:rPr>
          <w:rFonts w:hint="eastAsia" w:ascii="方正仿宋_GBK" w:hAnsi="方正仿宋_GBK" w:eastAsia="方正仿宋_GBK" w:cs="方正仿宋_GBK"/>
          <w:b w:val="0"/>
          <w:color w:val="000000"/>
          <w:kern w:val="0"/>
          <w:sz w:val="32"/>
          <w:szCs w:val="32"/>
          <w:highlight w:val="none"/>
          <w:lang w:val="en-US" w:eastAsia="zh-CN" w:bidi="ar"/>
        </w:rPr>
        <w:t>《云南省发展和改革委员会关于建立健全天然气上下游价格联动机制的通知》（云发改价格〔</w:t>
      </w:r>
      <w:r>
        <w:rPr>
          <w:rFonts w:hint="default" w:ascii="Times New Roman" w:hAnsi="Times New Roman" w:eastAsia="方正仿宋_GBK" w:cs="Times New Roman"/>
          <w:b w:val="0"/>
          <w:color w:val="000000"/>
          <w:kern w:val="0"/>
          <w:sz w:val="32"/>
          <w:szCs w:val="32"/>
          <w:highlight w:val="none"/>
          <w:lang w:val="en-US" w:eastAsia="zh-CN" w:bidi="ar"/>
        </w:rPr>
        <w:t>2024</w:t>
      </w:r>
      <w:r>
        <w:rPr>
          <w:rFonts w:hint="eastAsia" w:ascii="方正仿宋_GBK" w:hAnsi="方正仿宋_GBK" w:eastAsia="方正仿宋_GBK" w:cs="方正仿宋_GBK"/>
          <w:b w:val="0"/>
          <w:color w:val="000000"/>
          <w:kern w:val="0"/>
          <w:sz w:val="32"/>
          <w:szCs w:val="32"/>
          <w:highlight w:val="none"/>
          <w:lang w:val="en-US" w:eastAsia="zh-CN" w:bidi="ar"/>
        </w:rPr>
        <w:t>〕</w:t>
      </w:r>
      <w:r>
        <w:rPr>
          <w:rFonts w:hint="default" w:ascii="Times New Roman" w:hAnsi="Times New Roman" w:eastAsia="方正仿宋_GBK" w:cs="Times New Roman"/>
          <w:b w:val="0"/>
          <w:color w:val="000000"/>
          <w:kern w:val="0"/>
          <w:sz w:val="32"/>
          <w:szCs w:val="32"/>
          <w:highlight w:val="none"/>
          <w:lang w:val="en-US" w:eastAsia="zh-CN" w:bidi="ar"/>
        </w:rPr>
        <w:t>63</w:t>
      </w:r>
      <w:r>
        <w:rPr>
          <w:rFonts w:hint="eastAsia" w:ascii="方正仿宋_GBK" w:hAnsi="方正仿宋_GBK" w:eastAsia="方正仿宋_GBK" w:cs="方正仿宋_GBK"/>
          <w:b w:val="0"/>
          <w:color w:val="000000"/>
          <w:kern w:val="0"/>
          <w:sz w:val="32"/>
          <w:szCs w:val="32"/>
          <w:highlight w:val="none"/>
          <w:lang w:val="en-US" w:eastAsia="zh-CN" w:bidi="ar"/>
        </w:rPr>
        <w:t>号）</w:t>
      </w:r>
    </w:p>
    <w:p w14:paraId="5ACD0889">
      <w:pPr>
        <w:keepNext w:val="0"/>
        <w:keepLines w:val="0"/>
        <w:pageBreakBefore w:val="0"/>
        <w:widowControl w:val="0"/>
        <w:numPr>
          <w:ilvl w:val="0"/>
          <w:numId w:val="1"/>
        </w:numPr>
        <w:suppressLineNumbers w:val="0"/>
        <w:kinsoku/>
        <w:wordWrap/>
        <w:overflowPunct/>
        <w:topLinePunct w:val="0"/>
        <w:autoSpaceDE w:val="0"/>
        <w:autoSpaceDN/>
        <w:bidi w:val="0"/>
        <w:snapToGrid w:val="0"/>
        <w:spacing w:before="0" w:beforeAutospacing="0" w:after="0" w:afterAutospacing="0" w:line="560" w:lineRule="exact"/>
        <w:ind w:left="-109" w:leftChars="0" w:right="0" w:firstLine="420" w:firstLineChars="0"/>
        <w:jc w:val="both"/>
        <w:textAlignment w:val="auto"/>
        <w:rPr>
          <w:rFonts w:hint="default" w:ascii="Times New Roman" w:hAnsi="Times New Roman" w:eastAsia="方正仿宋_GBK" w:cs="Times New Roman"/>
          <w:b w:val="0"/>
          <w:color w:val="000000"/>
          <w:kern w:val="0"/>
          <w:sz w:val="32"/>
          <w:szCs w:val="32"/>
          <w:highlight w:val="none"/>
        </w:rPr>
      </w:pPr>
      <w:r>
        <w:rPr>
          <w:rFonts w:hint="eastAsia" w:ascii="方正仿宋_GBK" w:hAnsi="方正仿宋_GBK" w:eastAsia="方正仿宋_GBK" w:cs="方正仿宋_GBK"/>
          <w:b w:val="0"/>
          <w:color w:val="000000"/>
          <w:kern w:val="0"/>
          <w:sz w:val="32"/>
          <w:szCs w:val="32"/>
          <w:highlight w:val="none"/>
          <w:lang w:val="en-US" w:eastAsia="zh-CN" w:bidi="ar"/>
        </w:rPr>
        <w:t>《云南省物价局关于印发</w:t>
      </w:r>
      <w:r>
        <w:rPr>
          <w:rFonts w:hint="default" w:ascii="Times New Roman" w:hAnsi="Times New Roman" w:eastAsia="方正仿宋_GBK" w:cs="Times New Roman"/>
          <w:b w:val="0"/>
          <w:color w:val="000000"/>
          <w:kern w:val="0"/>
          <w:sz w:val="32"/>
          <w:szCs w:val="32"/>
          <w:highlight w:val="none"/>
          <w:lang w:val="en-US" w:eastAsia="zh-CN" w:bidi="ar"/>
        </w:rPr>
        <w:t>&lt;</w:t>
      </w:r>
      <w:r>
        <w:rPr>
          <w:rFonts w:hint="eastAsia" w:ascii="方正仿宋_GBK" w:hAnsi="方正仿宋_GBK" w:eastAsia="方正仿宋_GBK" w:cs="方正仿宋_GBK"/>
          <w:b w:val="0"/>
          <w:color w:val="000000"/>
          <w:kern w:val="0"/>
          <w:sz w:val="32"/>
          <w:szCs w:val="32"/>
          <w:highlight w:val="none"/>
          <w:lang w:val="en-US" w:eastAsia="zh-CN" w:bidi="ar"/>
        </w:rPr>
        <w:t>云南省城镇管道燃气配气价格管理办法</w:t>
      </w:r>
      <w:r>
        <w:rPr>
          <w:rFonts w:hint="default" w:ascii="Times New Roman" w:hAnsi="Times New Roman" w:eastAsia="方正仿宋_GBK" w:cs="Times New Roman"/>
          <w:b w:val="0"/>
          <w:color w:val="000000"/>
          <w:kern w:val="0"/>
          <w:sz w:val="32"/>
          <w:szCs w:val="32"/>
          <w:highlight w:val="none"/>
          <w:lang w:val="en-US" w:eastAsia="zh-CN" w:bidi="ar"/>
        </w:rPr>
        <w:t>&gt;</w:t>
      </w:r>
      <w:r>
        <w:rPr>
          <w:rFonts w:hint="eastAsia" w:ascii="方正仿宋_GBK" w:hAnsi="方正仿宋_GBK" w:eastAsia="方正仿宋_GBK" w:cs="方正仿宋_GBK"/>
          <w:b w:val="0"/>
          <w:color w:val="000000"/>
          <w:kern w:val="0"/>
          <w:sz w:val="32"/>
          <w:szCs w:val="32"/>
          <w:highlight w:val="none"/>
          <w:lang w:val="en-US" w:eastAsia="zh-CN" w:bidi="ar"/>
        </w:rPr>
        <w:t>和</w:t>
      </w:r>
      <w:r>
        <w:rPr>
          <w:rFonts w:hint="default" w:ascii="Times New Roman" w:hAnsi="Times New Roman" w:eastAsia="方正仿宋_GBK" w:cs="Times New Roman"/>
          <w:b w:val="0"/>
          <w:color w:val="000000"/>
          <w:kern w:val="0"/>
          <w:sz w:val="32"/>
          <w:szCs w:val="32"/>
          <w:highlight w:val="none"/>
          <w:lang w:val="en-US" w:eastAsia="zh-CN" w:bidi="ar"/>
        </w:rPr>
        <w:t>&lt;</w:t>
      </w:r>
      <w:r>
        <w:rPr>
          <w:rFonts w:hint="eastAsia" w:ascii="方正仿宋_GBK" w:hAnsi="方正仿宋_GBK" w:eastAsia="方正仿宋_GBK" w:cs="方正仿宋_GBK"/>
          <w:b w:val="0"/>
          <w:color w:val="000000"/>
          <w:kern w:val="0"/>
          <w:sz w:val="32"/>
          <w:szCs w:val="32"/>
          <w:highlight w:val="none"/>
          <w:lang w:val="en-US" w:eastAsia="zh-CN" w:bidi="ar"/>
        </w:rPr>
        <w:t>云南省城镇管道燃气配气定价成本监审办法</w:t>
      </w:r>
      <w:r>
        <w:rPr>
          <w:rFonts w:hint="default" w:ascii="Times New Roman" w:hAnsi="Times New Roman" w:eastAsia="方正仿宋_GBK" w:cs="Times New Roman"/>
          <w:b w:val="0"/>
          <w:color w:val="000000"/>
          <w:kern w:val="0"/>
          <w:sz w:val="32"/>
          <w:szCs w:val="32"/>
          <w:highlight w:val="none"/>
          <w:lang w:val="en-US" w:eastAsia="zh-CN" w:bidi="ar"/>
        </w:rPr>
        <w:t>&gt;</w:t>
      </w:r>
      <w:r>
        <w:rPr>
          <w:rFonts w:hint="eastAsia" w:ascii="方正仿宋_GBK" w:hAnsi="方正仿宋_GBK" w:eastAsia="方正仿宋_GBK" w:cs="方正仿宋_GBK"/>
          <w:b w:val="0"/>
          <w:color w:val="000000"/>
          <w:kern w:val="0"/>
          <w:sz w:val="32"/>
          <w:szCs w:val="32"/>
          <w:highlight w:val="none"/>
          <w:lang w:val="en-US" w:eastAsia="zh-CN" w:bidi="ar"/>
        </w:rPr>
        <w:t>的通知》（云价价格〔</w:t>
      </w:r>
      <w:r>
        <w:rPr>
          <w:rFonts w:hint="default" w:ascii="Times New Roman" w:hAnsi="Times New Roman" w:eastAsia="方正仿宋_GBK" w:cs="Times New Roman"/>
          <w:b w:val="0"/>
          <w:color w:val="000000"/>
          <w:kern w:val="0"/>
          <w:sz w:val="32"/>
          <w:szCs w:val="32"/>
          <w:highlight w:val="none"/>
          <w:lang w:val="en-US" w:eastAsia="zh-CN" w:bidi="ar"/>
        </w:rPr>
        <w:t>2018</w:t>
      </w:r>
      <w:r>
        <w:rPr>
          <w:rFonts w:hint="eastAsia" w:ascii="方正仿宋_GBK" w:hAnsi="方正仿宋_GBK" w:eastAsia="方正仿宋_GBK" w:cs="方正仿宋_GBK"/>
          <w:b w:val="0"/>
          <w:color w:val="000000"/>
          <w:kern w:val="0"/>
          <w:sz w:val="32"/>
          <w:szCs w:val="32"/>
          <w:highlight w:val="none"/>
          <w:lang w:val="en-US" w:eastAsia="zh-CN" w:bidi="ar"/>
        </w:rPr>
        <w:t>〕</w:t>
      </w:r>
      <w:r>
        <w:rPr>
          <w:rFonts w:hint="default" w:ascii="Times New Roman" w:hAnsi="Times New Roman" w:eastAsia="方正仿宋_GBK" w:cs="Times New Roman"/>
          <w:b w:val="0"/>
          <w:color w:val="000000"/>
          <w:kern w:val="0"/>
          <w:sz w:val="32"/>
          <w:szCs w:val="32"/>
          <w:highlight w:val="none"/>
          <w:lang w:val="en-US" w:eastAsia="zh-CN" w:bidi="ar"/>
        </w:rPr>
        <w:t>88</w:t>
      </w:r>
      <w:r>
        <w:rPr>
          <w:rFonts w:hint="eastAsia" w:ascii="方正仿宋_GBK" w:hAnsi="方正仿宋_GBK" w:eastAsia="方正仿宋_GBK" w:cs="方正仿宋_GBK"/>
          <w:b w:val="0"/>
          <w:color w:val="000000"/>
          <w:kern w:val="0"/>
          <w:sz w:val="32"/>
          <w:szCs w:val="32"/>
          <w:highlight w:val="none"/>
          <w:lang w:val="en-US" w:eastAsia="zh-CN" w:bidi="ar"/>
        </w:rPr>
        <w:t>号）</w:t>
      </w:r>
    </w:p>
    <w:p w14:paraId="7C218106">
      <w:pPr>
        <w:keepNext w:val="0"/>
        <w:keepLines w:val="0"/>
        <w:pageBreakBefore w:val="0"/>
        <w:widowControl w:val="0"/>
        <w:numPr>
          <w:ilvl w:val="0"/>
          <w:numId w:val="1"/>
        </w:numPr>
        <w:suppressLineNumbers w:val="0"/>
        <w:kinsoku/>
        <w:wordWrap/>
        <w:overflowPunct/>
        <w:topLinePunct w:val="0"/>
        <w:autoSpaceDE w:val="0"/>
        <w:autoSpaceDN/>
        <w:bidi w:val="0"/>
        <w:snapToGrid w:val="0"/>
        <w:spacing w:before="0" w:beforeAutospacing="0" w:after="0" w:afterAutospacing="0" w:line="560" w:lineRule="exact"/>
        <w:ind w:left="-109" w:leftChars="0" w:right="0" w:firstLine="420" w:firstLineChars="0"/>
        <w:jc w:val="both"/>
        <w:textAlignment w:val="auto"/>
        <w:rPr>
          <w:rFonts w:hint="default" w:ascii="Times New Roman" w:hAnsi="Times New Roman" w:eastAsia="方正仿宋_GBK" w:cs="Times New Roman"/>
          <w:b w:val="0"/>
          <w:kern w:val="0"/>
          <w:sz w:val="32"/>
          <w:szCs w:val="32"/>
          <w:highlight w:val="none"/>
        </w:rPr>
      </w:pPr>
      <w:r>
        <w:rPr>
          <w:rFonts w:hint="eastAsia" w:ascii="方正仿宋_GBK" w:hAnsi="方正仿宋_GBK" w:eastAsia="方正仿宋_GBK" w:cs="方正仿宋_GBK"/>
          <w:b w:val="0"/>
          <w:kern w:val="0"/>
          <w:sz w:val="32"/>
          <w:szCs w:val="32"/>
          <w:highlight w:val="none"/>
          <w:lang w:val="en-US" w:eastAsia="zh-CN" w:bidi="ar"/>
        </w:rPr>
        <w:t>《云南省物价局关于加快推进居民生活用气阶梯价格改革有关问题的通知》（云价价格〔</w:t>
      </w:r>
      <w:r>
        <w:rPr>
          <w:rFonts w:hint="default" w:ascii="Times New Roman" w:hAnsi="Times New Roman" w:eastAsia="方正仿宋_GBK" w:cs="Times New Roman"/>
          <w:b w:val="0"/>
          <w:kern w:val="0"/>
          <w:sz w:val="32"/>
          <w:szCs w:val="32"/>
          <w:highlight w:val="none"/>
          <w:lang w:val="en-US" w:eastAsia="zh-CN" w:bidi="ar"/>
        </w:rPr>
        <w:t>2015</w:t>
      </w:r>
      <w:r>
        <w:rPr>
          <w:rFonts w:hint="eastAsia" w:ascii="方正仿宋_GBK" w:hAnsi="方正仿宋_GBK" w:eastAsia="方正仿宋_GBK" w:cs="方正仿宋_GBK"/>
          <w:b w:val="0"/>
          <w:kern w:val="0"/>
          <w:sz w:val="32"/>
          <w:szCs w:val="32"/>
          <w:highlight w:val="none"/>
          <w:lang w:val="en-US" w:eastAsia="zh-CN" w:bidi="ar"/>
        </w:rPr>
        <w:t>〕</w:t>
      </w:r>
      <w:r>
        <w:rPr>
          <w:rFonts w:hint="default" w:ascii="Times New Roman" w:hAnsi="Times New Roman" w:eastAsia="方正仿宋_GBK" w:cs="Times New Roman"/>
          <w:b w:val="0"/>
          <w:kern w:val="0"/>
          <w:sz w:val="32"/>
          <w:szCs w:val="32"/>
          <w:highlight w:val="none"/>
          <w:lang w:val="en-US" w:eastAsia="zh-CN" w:bidi="ar"/>
        </w:rPr>
        <w:t>72</w:t>
      </w:r>
      <w:r>
        <w:rPr>
          <w:rFonts w:hint="eastAsia" w:ascii="方正仿宋_GBK" w:hAnsi="方正仿宋_GBK" w:eastAsia="方正仿宋_GBK" w:cs="方正仿宋_GBK"/>
          <w:b w:val="0"/>
          <w:kern w:val="0"/>
          <w:sz w:val="32"/>
          <w:szCs w:val="32"/>
          <w:highlight w:val="none"/>
          <w:lang w:val="en-US" w:eastAsia="zh-CN" w:bidi="ar"/>
        </w:rPr>
        <w:t>号）</w:t>
      </w:r>
    </w:p>
    <w:p w14:paraId="60D5E3D1">
      <w:pPr>
        <w:keepNext w:val="0"/>
        <w:keepLines w:val="0"/>
        <w:pageBreakBefore w:val="0"/>
        <w:widowControl w:val="0"/>
        <w:numPr>
          <w:ilvl w:val="0"/>
          <w:numId w:val="1"/>
        </w:numPr>
        <w:suppressLineNumbers w:val="0"/>
        <w:kinsoku/>
        <w:wordWrap/>
        <w:overflowPunct/>
        <w:topLinePunct w:val="0"/>
        <w:autoSpaceDE w:val="0"/>
        <w:autoSpaceDN/>
        <w:bidi w:val="0"/>
        <w:adjustRightInd w:val="0"/>
        <w:snapToGrid w:val="0"/>
        <w:spacing w:before="0" w:beforeAutospacing="0" w:after="0" w:afterAutospacing="0" w:line="560" w:lineRule="exact"/>
        <w:ind w:left="-109" w:leftChars="0" w:right="0" w:firstLine="420" w:firstLineChars="0"/>
        <w:jc w:val="both"/>
        <w:textAlignment w:val="auto"/>
        <w:rPr>
          <w:rFonts w:hint="eastAsia" w:ascii="Times New Roman" w:hAnsi="Times New Roman" w:eastAsia="方正黑体_GBK" w:cs="Times New Roman"/>
          <w:color w:val="000000"/>
          <w:spacing w:val="0"/>
          <w:w w:val="100"/>
          <w:kern w:val="2"/>
          <w:sz w:val="32"/>
          <w:szCs w:val="32"/>
          <w:highlight w:val="none"/>
        </w:rPr>
      </w:pPr>
      <w:r>
        <w:rPr>
          <w:rFonts w:hint="eastAsia" w:ascii="方正仿宋_GBK" w:hAnsi="方正仿宋_GBK" w:eastAsia="方正仿宋_GBK" w:cs="方正仿宋_GBK"/>
          <w:b w:val="0"/>
          <w:color w:val="000000"/>
          <w:kern w:val="0"/>
          <w:sz w:val="32"/>
          <w:szCs w:val="32"/>
          <w:highlight w:val="none"/>
          <w:lang w:val="en-US" w:eastAsia="zh-CN" w:bidi="ar"/>
        </w:rPr>
        <w:t>《云南省价格听证目录》（</w:t>
      </w:r>
      <w:r>
        <w:rPr>
          <w:rFonts w:hint="default" w:ascii="Times New Roman" w:hAnsi="Times New Roman" w:eastAsia="方正仿宋_GBK" w:cs="Times New Roman"/>
          <w:b w:val="0"/>
          <w:color w:val="000000"/>
          <w:kern w:val="0"/>
          <w:sz w:val="32"/>
          <w:szCs w:val="32"/>
          <w:highlight w:val="none"/>
          <w:lang w:val="en-US" w:eastAsia="zh-CN" w:bidi="ar"/>
        </w:rPr>
        <w:t>2023</w:t>
      </w:r>
      <w:r>
        <w:rPr>
          <w:rFonts w:hint="eastAsia" w:ascii="方正仿宋_GBK" w:hAnsi="方正仿宋_GBK" w:eastAsia="方正仿宋_GBK" w:cs="方正仿宋_GBK"/>
          <w:b w:val="0"/>
          <w:color w:val="000000"/>
          <w:kern w:val="0"/>
          <w:sz w:val="32"/>
          <w:szCs w:val="32"/>
          <w:highlight w:val="none"/>
          <w:lang w:val="en-US" w:eastAsia="zh-CN" w:bidi="ar"/>
        </w:rPr>
        <w:t>版）</w:t>
      </w:r>
    </w:p>
    <w:p w14:paraId="0B30397A">
      <w:pPr>
        <w:keepNext w:val="0"/>
        <w:keepLines w:val="0"/>
        <w:pageBreakBefore w:val="0"/>
        <w:widowControl w:val="0"/>
        <w:numPr>
          <w:ilvl w:val="0"/>
          <w:numId w:val="1"/>
        </w:numPr>
        <w:suppressLineNumbers w:val="0"/>
        <w:kinsoku/>
        <w:wordWrap/>
        <w:overflowPunct/>
        <w:topLinePunct w:val="0"/>
        <w:autoSpaceDE w:val="0"/>
        <w:autoSpaceDN/>
        <w:bidi w:val="0"/>
        <w:adjustRightInd w:val="0"/>
        <w:snapToGrid w:val="0"/>
        <w:spacing w:before="0" w:beforeAutospacing="0" w:after="0" w:afterAutospacing="0" w:line="560" w:lineRule="exact"/>
        <w:ind w:left="-109" w:leftChars="0" w:right="0" w:firstLine="420" w:firstLineChars="0"/>
        <w:jc w:val="both"/>
        <w:textAlignment w:val="auto"/>
        <w:rPr>
          <w:rFonts w:hint="eastAsia" w:ascii="Times New Roman" w:hAnsi="Times New Roman" w:eastAsia="方正黑体_GBK" w:cs="Times New Roman"/>
          <w:color w:val="000000"/>
          <w:spacing w:val="0"/>
          <w:w w:val="100"/>
          <w:kern w:val="2"/>
          <w:sz w:val="32"/>
          <w:szCs w:val="32"/>
          <w:highlight w:val="none"/>
        </w:rPr>
      </w:pPr>
      <w:r>
        <w:rPr>
          <w:rFonts w:hint="eastAsia" w:ascii="方正仿宋_GBK" w:hAnsi="方正仿宋_GBK" w:eastAsia="方正仿宋_GBK" w:cs="方正仿宋_GBK"/>
          <w:b w:val="0"/>
          <w:color w:val="000000"/>
          <w:kern w:val="0"/>
          <w:sz w:val="32"/>
          <w:szCs w:val="32"/>
          <w:highlight w:val="none"/>
          <w:lang w:val="en-US" w:eastAsia="zh-CN" w:bidi="ar"/>
        </w:rPr>
        <w:t>云南省发展和改革委员会关于核定省内天然气管道运输价格的通知（云发改价格〔</w:t>
      </w:r>
      <w:r>
        <w:rPr>
          <w:rFonts w:hint="default" w:ascii="Times New Roman" w:hAnsi="Times New Roman" w:eastAsia="方正仿宋_GBK" w:cs="Times New Roman"/>
          <w:b w:val="0"/>
          <w:color w:val="000000"/>
          <w:kern w:val="0"/>
          <w:sz w:val="32"/>
          <w:szCs w:val="32"/>
          <w:highlight w:val="none"/>
          <w:lang w:val="en-US" w:eastAsia="zh-CN" w:bidi="ar"/>
        </w:rPr>
        <w:t>2025</w:t>
      </w:r>
      <w:r>
        <w:rPr>
          <w:rFonts w:hint="eastAsia" w:ascii="方正仿宋_GBK" w:hAnsi="方正仿宋_GBK" w:eastAsia="方正仿宋_GBK" w:cs="方正仿宋_GBK"/>
          <w:b w:val="0"/>
          <w:color w:val="000000"/>
          <w:kern w:val="0"/>
          <w:sz w:val="32"/>
          <w:szCs w:val="32"/>
          <w:highlight w:val="none"/>
          <w:lang w:val="en-US" w:eastAsia="zh-CN" w:bidi="ar"/>
        </w:rPr>
        <w:t>〕</w:t>
      </w:r>
      <w:r>
        <w:rPr>
          <w:rFonts w:hint="default" w:ascii="Times New Roman" w:hAnsi="Times New Roman" w:eastAsia="方正仿宋_GBK" w:cs="Times New Roman"/>
          <w:b w:val="0"/>
          <w:color w:val="000000"/>
          <w:kern w:val="0"/>
          <w:sz w:val="32"/>
          <w:szCs w:val="32"/>
          <w:highlight w:val="none"/>
          <w:lang w:val="en-US" w:eastAsia="zh-CN" w:bidi="ar"/>
        </w:rPr>
        <w:t>606</w:t>
      </w:r>
      <w:r>
        <w:rPr>
          <w:rFonts w:hint="eastAsia" w:ascii="方正仿宋_GBK" w:hAnsi="方正仿宋_GBK" w:eastAsia="方正仿宋_GBK" w:cs="方正仿宋_GBK"/>
          <w:b w:val="0"/>
          <w:color w:val="000000"/>
          <w:kern w:val="0"/>
          <w:sz w:val="32"/>
          <w:szCs w:val="32"/>
          <w:highlight w:val="none"/>
          <w:lang w:val="en-US" w:eastAsia="zh-CN" w:bidi="ar"/>
        </w:rPr>
        <w:t>号）</w:t>
      </w:r>
    </w:p>
    <w:p w14:paraId="0C89E608">
      <w:pPr>
        <w:pStyle w:val="19"/>
        <w:keepNext w:val="0"/>
        <w:keepLines w:val="0"/>
        <w:pageBreakBefore w:val="0"/>
        <w:widowControl w:val="0"/>
        <w:suppressLineNumbers w:val="0"/>
        <w:kinsoku/>
        <w:wordWrap/>
        <w:overflowPunct/>
        <w:topLinePunct w:val="0"/>
        <w:autoSpaceDE w:val="0"/>
        <w:autoSpaceDN/>
        <w:bidi w:val="0"/>
        <w:snapToGrid w:val="0"/>
        <w:spacing w:beforeAutospacing="0" w:line="560" w:lineRule="exact"/>
        <w:ind w:left="0" w:right="0" w:rightChars="0" w:firstLine="640" w:firstLineChars="200"/>
        <w:jc w:val="both"/>
        <w:textAlignment w:val="auto"/>
        <w:rPr>
          <w:rFonts w:hint="default" w:ascii="Times New Roman" w:hAnsi="Times New Roman" w:eastAsia="方正黑体_GBK" w:cs="Times New Roman"/>
          <w:color w:val="000000"/>
          <w:kern w:val="2"/>
          <w:sz w:val="32"/>
          <w:szCs w:val="32"/>
          <w:highlight w:val="none"/>
        </w:rPr>
      </w:pPr>
      <w:r>
        <w:rPr>
          <w:rFonts w:hint="eastAsia" w:ascii="方正黑体_GBK" w:hAnsi="方正黑体_GBK" w:eastAsia="方正黑体_GBK" w:cs="方正黑体_GBK"/>
          <w:color w:val="000000"/>
          <w:spacing w:val="0"/>
          <w:w w:val="100"/>
          <w:kern w:val="2"/>
          <w:sz w:val="32"/>
          <w:szCs w:val="32"/>
          <w:highlight w:val="none"/>
        </w:rPr>
        <w:t>三、管道燃气配气价格校核</w:t>
      </w:r>
    </w:p>
    <w:p w14:paraId="4DF457AD">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（一）校核配气价格的必要性</w:t>
      </w:r>
    </w:p>
    <w:p w14:paraId="79FD5F09">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一是根据《云南省城镇管道燃气配气价格管理办法》，配气价格校核周期原则上不超过</w:t>
      </w:r>
      <w:r>
        <w:rPr>
          <w:rFonts w:hint="default" w:ascii="Times New Roman" w:hAnsi="Times New Roman" w:eastAsia="方正仿宋_GBK" w:cs="Times New Roman"/>
          <w:color w:val="000000"/>
          <w:kern w:val="0"/>
          <w:sz w:val="32"/>
          <w:szCs w:val="32"/>
          <w:highlight w:val="none"/>
          <w:lang w:val="en-US" w:eastAsia="zh-CN" w:bidi="ar"/>
        </w:rPr>
        <w:t>3</w:t>
      </w:r>
      <w:r>
        <w:rPr>
          <w:rFonts w:hint="eastAsia" w:ascii="方正仿宋_GBK" w:hAnsi="方正仿宋_GBK" w:eastAsia="方正仿宋_GBK" w:cs="方正仿宋_GBK"/>
          <w:color w:val="000000"/>
          <w:kern w:val="0"/>
          <w:sz w:val="32"/>
          <w:szCs w:val="32"/>
          <w:highlight w:val="none"/>
          <w:lang w:val="en-US" w:eastAsia="zh-CN" w:bidi="ar"/>
        </w:rPr>
        <w:t>年，曲靖市现行燃气配气价格于</w:t>
      </w:r>
      <w:r>
        <w:rPr>
          <w:rFonts w:hint="default" w:ascii="Times New Roman" w:hAnsi="Times New Roman" w:eastAsia="方正仿宋_GBK" w:cs="Times New Roman"/>
          <w:color w:val="000000"/>
          <w:kern w:val="0"/>
          <w:sz w:val="32"/>
          <w:szCs w:val="32"/>
          <w:highlight w:val="none"/>
          <w:lang w:val="en-US" w:eastAsia="zh-CN" w:bidi="ar"/>
        </w:rPr>
        <w:t>2019</w:t>
      </w:r>
      <w:r>
        <w:rPr>
          <w:rFonts w:hint="eastAsia" w:ascii="方正仿宋_GBK" w:hAnsi="方正仿宋_GBK" w:eastAsia="方正仿宋_GBK" w:cs="方正仿宋_GBK"/>
          <w:color w:val="000000"/>
          <w:kern w:val="0"/>
          <w:sz w:val="32"/>
          <w:szCs w:val="32"/>
          <w:highlight w:val="none"/>
          <w:lang w:val="en-US" w:eastAsia="zh-CN" w:bidi="ar"/>
        </w:rPr>
        <w:t>年制定，执行时间已近</w:t>
      </w:r>
      <w:r>
        <w:rPr>
          <w:rFonts w:hint="default" w:ascii="Times New Roman" w:hAnsi="Times New Roman" w:eastAsia="方正仿宋_GBK" w:cs="Times New Roman"/>
          <w:color w:val="000000"/>
          <w:kern w:val="0"/>
          <w:sz w:val="32"/>
          <w:szCs w:val="32"/>
          <w:highlight w:val="none"/>
          <w:lang w:val="en-US" w:eastAsia="zh-CN" w:bidi="ar"/>
        </w:rPr>
        <w:t>6</w:t>
      </w:r>
      <w:r>
        <w:rPr>
          <w:rFonts w:hint="eastAsia" w:ascii="方正仿宋_GBK" w:hAnsi="方正仿宋_GBK" w:eastAsia="方正仿宋_GBK" w:cs="方正仿宋_GBK"/>
          <w:color w:val="000000"/>
          <w:kern w:val="0"/>
          <w:sz w:val="32"/>
          <w:szCs w:val="32"/>
          <w:highlight w:val="none"/>
          <w:lang w:val="en-US" w:eastAsia="zh-CN" w:bidi="ar"/>
        </w:rPr>
        <w:t>年，应开展校核工作。二是省要求建立健全天然气上下游价格联动机制，须校核配气价格。</w:t>
      </w:r>
    </w:p>
    <w:p w14:paraId="129D8D4D">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（二）配气成本监审情况</w:t>
      </w:r>
    </w:p>
    <w:p w14:paraId="70C8CB18">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11"/>
          <w:szCs w:val="11"/>
          <w:highlight w:val="none"/>
        </w:rPr>
      </w:pPr>
      <w:r>
        <w:rPr>
          <w:rFonts w:hint="eastAsia" w:ascii="方正仿宋_GBK" w:hAnsi="方正仿宋_GBK" w:eastAsia="方正仿宋_GBK" w:cs="方正仿宋_GBK"/>
          <w:color w:val="000000"/>
          <w:kern w:val="0"/>
          <w:sz w:val="32"/>
          <w:szCs w:val="32"/>
          <w:highlight w:val="none"/>
          <w:lang w:val="en-US" w:eastAsia="zh-CN" w:bidi="ar"/>
        </w:rPr>
        <w:t>按照《云南省城镇管道燃气配气定价成本监审办法》相关规定，对全市各配气企业进行成本监审，核定监审期间年配送气总量为</w:t>
      </w:r>
      <w:r>
        <w:rPr>
          <w:rFonts w:hint="default" w:ascii="Times New Roman" w:hAnsi="Times New Roman" w:eastAsia="方正仿宋_GBK" w:cs="Times New Roman"/>
          <w:color w:val="000000"/>
          <w:kern w:val="0"/>
          <w:sz w:val="32"/>
          <w:szCs w:val="32"/>
          <w:highlight w:val="none"/>
          <w:lang w:val="en-US" w:eastAsia="zh-CN" w:bidi="ar"/>
        </w:rPr>
        <w:t>18312.6709</w:t>
      </w:r>
      <w:r>
        <w:rPr>
          <w:rFonts w:hint="eastAsia" w:ascii="方正仿宋_GBK" w:hAnsi="方正仿宋_GBK" w:eastAsia="方正仿宋_GBK" w:cs="方正仿宋_GBK"/>
          <w:color w:val="000000"/>
          <w:kern w:val="0"/>
          <w:sz w:val="32"/>
          <w:szCs w:val="32"/>
          <w:highlight w:val="none"/>
          <w:lang w:val="en-US" w:eastAsia="zh-CN" w:bidi="ar"/>
        </w:rPr>
        <w:t>万立方米，固定资产净值总额为</w:t>
      </w:r>
      <w:r>
        <w:rPr>
          <w:rFonts w:hint="default" w:ascii="Times New Roman" w:hAnsi="Times New Roman" w:eastAsia="方正仿宋_GBK" w:cs="Times New Roman"/>
          <w:color w:val="000000"/>
          <w:kern w:val="0"/>
          <w:sz w:val="32"/>
          <w:szCs w:val="32"/>
          <w:highlight w:val="none"/>
          <w:lang w:val="en-US" w:eastAsia="zh-CN" w:bidi="ar"/>
        </w:rPr>
        <w:t>104941.7140</w:t>
      </w:r>
      <w:r>
        <w:rPr>
          <w:rFonts w:hint="eastAsia" w:ascii="方正仿宋_GBK" w:hAnsi="方正仿宋_GBK" w:eastAsia="方正仿宋_GBK" w:cs="方正仿宋_GBK"/>
          <w:color w:val="000000"/>
          <w:kern w:val="0"/>
          <w:sz w:val="32"/>
          <w:szCs w:val="32"/>
          <w:highlight w:val="none"/>
          <w:lang w:val="en-US" w:eastAsia="zh-CN" w:bidi="ar"/>
        </w:rPr>
        <w:t>万元，无形资产净值总额为</w:t>
      </w:r>
      <w:r>
        <w:rPr>
          <w:rFonts w:hint="default" w:ascii="Times New Roman" w:hAnsi="Times New Roman" w:eastAsia="方正仿宋_GBK" w:cs="Times New Roman"/>
          <w:color w:val="000000"/>
          <w:kern w:val="0"/>
          <w:sz w:val="32"/>
          <w:szCs w:val="32"/>
          <w:highlight w:val="none"/>
          <w:lang w:val="en-US" w:eastAsia="zh-CN" w:bidi="ar"/>
        </w:rPr>
        <w:t>11647.2832</w:t>
      </w:r>
      <w:r>
        <w:rPr>
          <w:rFonts w:hint="eastAsia" w:ascii="方正仿宋_GBK" w:hAnsi="方正仿宋_GBK" w:eastAsia="方正仿宋_GBK" w:cs="方正仿宋_GBK"/>
          <w:color w:val="000000"/>
          <w:kern w:val="0"/>
          <w:sz w:val="32"/>
          <w:szCs w:val="32"/>
          <w:highlight w:val="none"/>
          <w:lang w:val="en-US" w:eastAsia="zh-CN" w:bidi="ar"/>
        </w:rPr>
        <w:t>万元，运行维护费用为</w:t>
      </w:r>
      <w:r>
        <w:rPr>
          <w:rFonts w:hint="default" w:ascii="Times New Roman" w:hAnsi="Times New Roman" w:eastAsia="方正仿宋_GBK" w:cs="Times New Roman"/>
          <w:color w:val="000000"/>
          <w:kern w:val="0"/>
          <w:sz w:val="32"/>
          <w:szCs w:val="32"/>
          <w:highlight w:val="none"/>
          <w:lang w:val="en-US" w:eastAsia="zh-CN" w:bidi="ar"/>
        </w:rPr>
        <w:t>11007.2900</w:t>
      </w:r>
      <w:r>
        <w:rPr>
          <w:rFonts w:hint="eastAsia" w:ascii="方正仿宋_GBK" w:hAnsi="方正仿宋_GBK" w:eastAsia="方正仿宋_GBK" w:cs="方正仿宋_GBK"/>
          <w:color w:val="000000"/>
          <w:kern w:val="0"/>
          <w:sz w:val="32"/>
          <w:szCs w:val="32"/>
          <w:highlight w:val="none"/>
          <w:lang w:val="en-US" w:eastAsia="zh-CN" w:bidi="ar"/>
        </w:rPr>
        <w:t>万元，配气定价总成本为</w:t>
      </w:r>
      <w:r>
        <w:rPr>
          <w:rFonts w:hint="default" w:ascii="Times New Roman" w:hAnsi="Times New Roman" w:eastAsia="方正仿宋_GBK" w:cs="Times New Roman"/>
          <w:color w:val="000000"/>
          <w:kern w:val="0"/>
          <w:sz w:val="32"/>
          <w:szCs w:val="32"/>
          <w:highlight w:val="none"/>
          <w:lang w:val="en-US" w:eastAsia="zh-CN" w:bidi="ar"/>
        </w:rPr>
        <w:t>14677.1482</w:t>
      </w:r>
      <w:r>
        <w:rPr>
          <w:rFonts w:hint="eastAsia" w:ascii="方正仿宋_GBK" w:hAnsi="方正仿宋_GBK" w:eastAsia="方正仿宋_GBK" w:cs="方正仿宋_GBK"/>
          <w:color w:val="000000"/>
          <w:kern w:val="0"/>
          <w:sz w:val="32"/>
          <w:szCs w:val="32"/>
          <w:highlight w:val="none"/>
          <w:lang w:val="en-US" w:eastAsia="zh-CN" w:bidi="ar"/>
        </w:rPr>
        <w:t>万元，按实际供气量计算单位配气成本约</w:t>
      </w:r>
      <w:r>
        <w:rPr>
          <w:rFonts w:hint="default" w:ascii="Times New Roman" w:hAnsi="Times New Roman" w:eastAsia="方正仿宋_GBK" w:cs="Times New Roman"/>
          <w:color w:val="000000"/>
          <w:kern w:val="0"/>
          <w:sz w:val="32"/>
          <w:szCs w:val="32"/>
          <w:highlight w:val="none"/>
          <w:lang w:val="en-US" w:eastAsia="zh-CN" w:bidi="ar"/>
        </w:rPr>
        <w:t>0.80</w:t>
      </w:r>
      <w:r>
        <w:rPr>
          <w:rFonts w:hint="eastAsia" w:ascii="方正仿宋_GBK" w:hAnsi="方正仿宋_GBK" w:eastAsia="方正仿宋_GBK" w:cs="方正仿宋_GBK"/>
          <w:color w:val="000000"/>
          <w:kern w:val="0"/>
          <w:sz w:val="32"/>
          <w:szCs w:val="32"/>
          <w:highlight w:val="none"/>
          <w:lang w:val="en-US" w:eastAsia="zh-CN" w:bidi="ar"/>
        </w:rPr>
        <w:t>元</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立方米。</w:t>
      </w:r>
    </w:p>
    <w:p w14:paraId="42BC0F31">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（三）配气价格校核情况</w:t>
      </w:r>
    </w:p>
    <w:p w14:paraId="66AC975D">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根据《云南省城镇管道燃气配气价格管理办法》，配气价格按照“准许成本加合理收益”的原则制定，即，配气价格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准许总收入</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核定配送总气量，其中，准许总收入</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准许成本（定价成本）</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合理收益</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税费－其他收支净额；合理收益</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有效资产</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准许收益率；有效资产</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固定资产净值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无形资产净值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营运资本；营运资本按运行维护费的</w:t>
      </w:r>
      <w:r>
        <w:rPr>
          <w:rFonts w:hint="default" w:ascii="Times New Roman" w:hAnsi="Times New Roman" w:eastAsia="方正仿宋_GBK" w:cs="Times New Roman"/>
          <w:color w:val="000000"/>
          <w:kern w:val="0"/>
          <w:sz w:val="32"/>
          <w:szCs w:val="32"/>
          <w:highlight w:val="none"/>
          <w:lang w:val="en-US" w:eastAsia="zh-CN" w:bidi="ar"/>
        </w:rPr>
        <w:t>20%</w:t>
      </w:r>
      <w:r>
        <w:rPr>
          <w:rFonts w:hint="eastAsia" w:ascii="方正仿宋_GBK" w:hAnsi="方正仿宋_GBK" w:eastAsia="方正仿宋_GBK" w:cs="方正仿宋_GBK"/>
          <w:color w:val="000000"/>
          <w:kern w:val="0"/>
          <w:sz w:val="32"/>
          <w:szCs w:val="32"/>
          <w:highlight w:val="none"/>
          <w:lang w:val="en-US" w:eastAsia="zh-CN" w:bidi="ar"/>
        </w:rPr>
        <w:t>确定。配气管网负荷率低于</w:t>
      </w:r>
      <w:r>
        <w:rPr>
          <w:rFonts w:hint="default" w:ascii="Times New Roman" w:hAnsi="Times New Roman" w:eastAsia="方正仿宋_GBK" w:cs="Times New Roman"/>
          <w:color w:val="000000"/>
          <w:kern w:val="0"/>
          <w:sz w:val="32"/>
          <w:szCs w:val="32"/>
          <w:highlight w:val="none"/>
          <w:lang w:val="en-US" w:eastAsia="zh-CN" w:bidi="ar"/>
        </w:rPr>
        <w:t>50%</w:t>
      </w:r>
      <w:r>
        <w:rPr>
          <w:rFonts w:hint="eastAsia" w:ascii="方正仿宋_GBK" w:hAnsi="方正仿宋_GBK" w:eastAsia="方正仿宋_GBK" w:cs="方正仿宋_GBK"/>
          <w:color w:val="000000"/>
          <w:kern w:val="0"/>
          <w:sz w:val="32"/>
          <w:szCs w:val="32"/>
          <w:highlight w:val="none"/>
          <w:lang w:val="en-US" w:eastAsia="zh-CN" w:bidi="ar"/>
        </w:rPr>
        <w:t>的，按设计配送能力的</w:t>
      </w:r>
      <w:r>
        <w:rPr>
          <w:rFonts w:hint="default" w:ascii="Times New Roman" w:hAnsi="Times New Roman" w:eastAsia="方正仿宋_GBK" w:cs="Times New Roman"/>
          <w:color w:val="000000"/>
          <w:kern w:val="0"/>
          <w:sz w:val="32"/>
          <w:szCs w:val="32"/>
          <w:highlight w:val="none"/>
          <w:lang w:val="en-US" w:eastAsia="zh-CN" w:bidi="ar"/>
        </w:rPr>
        <w:t>50%</w:t>
      </w:r>
      <w:r>
        <w:rPr>
          <w:rFonts w:hint="eastAsia" w:ascii="方正仿宋_GBK" w:hAnsi="方正仿宋_GBK" w:eastAsia="方正仿宋_GBK" w:cs="方正仿宋_GBK"/>
          <w:color w:val="000000"/>
          <w:kern w:val="0"/>
          <w:sz w:val="32"/>
          <w:szCs w:val="32"/>
          <w:highlight w:val="none"/>
          <w:lang w:val="en-US" w:eastAsia="zh-CN" w:bidi="ar"/>
        </w:rPr>
        <w:t>计算。收益率按税后全投资收益率不超过</w:t>
      </w:r>
      <w:r>
        <w:rPr>
          <w:rFonts w:hint="default" w:ascii="Times New Roman" w:hAnsi="Times New Roman" w:eastAsia="方正仿宋_GBK" w:cs="Times New Roman"/>
          <w:color w:val="000000"/>
          <w:kern w:val="0"/>
          <w:sz w:val="32"/>
          <w:szCs w:val="32"/>
          <w:highlight w:val="none"/>
          <w:lang w:val="en-US" w:eastAsia="zh-CN" w:bidi="ar"/>
        </w:rPr>
        <w:t>7%</w:t>
      </w:r>
      <w:r>
        <w:rPr>
          <w:rFonts w:hint="eastAsia" w:ascii="方正仿宋_GBK" w:hAnsi="方正仿宋_GBK" w:eastAsia="方正仿宋_GBK" w:cs="方正仿宋_GBK"/>
          <w:color w:val="000000"/>
          <w:kern w:val="0"/>
          <w:sz w:val="32"/>
          <w:szCs w:val="32"/>
          <w:highlight w:val="none"/>
          <w:lang w:val="en-US" w:eastAsia="zh-CN" w:bidi="ar"/>
        </w:rPr>
        <w:t>确定。</w:t>
      </w:r>
    </w:p>
    <w:p w14:paraId="636C84B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eastAsia"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依据成本监审结果，本次校核配气价格时准许收益率取值确定为</w:t>
      </w:r>
      <w:r>
        <w:rPr>
          <w:rFonts w:hint="default" w:ascii="Times New Roman" w:hAnsi="Times New Roman" w:eastAsia="方正仿宋_GBK" w:cs="Times New Roman"/>
          <w:color w:val="000000"/>
          <w:kern w:val="0"/>
          <w:sz w:val="32"/>
          <w:szCs w:val="32"/>
          <w:highlight w:val="none"/>
          <w:lang w:val="en-US" w:eastAsia="zh-CN" w:bidi="ar"/>
        </w:rPr>
        <w:t>7%</w:t>
      </w:r>
      <w:r>
        <w:rPr>
          <w:rFonts w:hint="eastAsia" w:ascii="方正仿宋_GBK" w:hAnsi="方正仿宋_GBK" w:eastAsia="方正仿宋_GBK" w:cs="方正仿宋_GBK"/>
          <w:color w:val="000000"/>
          <w:kern w:val="0"/>
          <w:sz w:val="32"/>
          <w:szCs w:val="32"/>
          <w:highlight w:val="none"/>
          <w:lang w:val="en-US" w:eastAsia="zh-CN" w:bidi="ar"/>
        </w:rPr>
        <w:t>。核定的准许总收入为</w:t>
      </w:r>
      <w:r>
        <w:rPr>
          <w:rFonts w:hint="default" w:ascii="Times New Roman" w:hAnsi="Times New Roman" w:eastAsia="方正仿宋_GBK" w:cs="Times New Roman"/>
          <w:color w:val="000000"/>
          <w:kern w:val="0"/>
          <w:sz w:val="32"/>
          <w:szCs w:val="32"/>
          <w:highlight w:val="none"/>
          <w:lang w:val="en-US" w:eastAsia="zh-CN" w:bidi="ar"/>
        </w:rPr>
        <w:t xml:space="preserve">22992.4800 </w:t>
      </w:r>
      <w:r>
        <w:rPr>
          <w:rFonts w:hint="eastAsia" w:ascii="方正仿宋_GBK" w:hAnsi="方正仿宋_GBK" w:eastAsia="方正仿宋_GBK" w:cs="方正仿宋_GBK"/>
          <w:color w:val="000000"/>
          <w:kern w:val="0"/>
          <w:sz w:val="32"/>
          <w:szCs w:val="32"/>
          <w:highlight w:val="none"/>
          <w:lang w:val="en-US" w:eastAsia="zh-CN" w:bidi="ar"/>
        </w:rPr>
        <w:t>万元，核定年配送气量为</w:t>
      </w:r>
      <w:r>
        <w:rPr>
          <w:rFonts w:hint="default" w:ascii="Times New Roman" w:hAnsi="Times New Roman" w:eastAsia="方正仿宋_GBK" w:cs="Times New Roman"/>
          <w:color w:val="000000"/>
          <w:kern w:val="0"/>
          <w:sz w:val="32"/>
          <w:szCs w:val="32"/>
          <w:highlight w:val="none"/>
          <w:lang w:val="en-US" w:eastAsia="zh-CN" w:bidi="ar"/>
        </w:rPr>
        <w:t>28325.3539</w:t>
      </w:r>
      <w:r>
        <w:rPr>
          <w:rFonts w:hint="eastAsia" w:ascii="方正仿宋_GBK" w:hAnsi="方正仿宋_GBK" w:eastAsia="方正仿宋_GBK" w:cs="方正仿宋_GBK"/>
          <w:color w:val="000000"/>
          <w:kern w:val="0"/>
          <w:sz w:val="32"/>
          <w:szCs w:val="32"/>
          <w:highlight w:val="none"/>
          <w:lang w:val="en-US" w:eastAsia="zh-CN" w:bidi="ar"/>
        </w:rPr>
        <w:t>万立方米，计算综合配气价格为</w:t>
      </w:r>
      <w:r>
        <w:rPr>
          <w:rFonts w:hint="default" w:ascii="Times New Roman" w:hAnsi="Times New Roman" w:eastAsia="方正仿宋_GBK" w:cs="Times New Roman"/>
          <w:color w:val="000000"/>
          <w:kern w:val="0"/>
          <w:sz w:val="32"/>
          <w:szCs w:val="32"/>
          <w:highlight w:val="none"/>
          <w:lang w:val="en-US" w:eastAsia="zh-CN" w:bidi="ar"/>
        </w:rPr>
        <w:t>0.81</w:t>
      </w:r>
      <w:r>
        <w:rPr>
          <w:rFonts w:hint="eastAsia" w:ascii="方正仿宋_GBK" w:hAnsi="方正仿宋_GBK" w:eastAsia="方正仿宋_GBK" w:cs="方正仿宋_GBK"/>
          <w:color w:val="000000"/>
          <w:kern w:val="0"/>
          <w:sz w:val="32"/>
          <w:szCs w:val="32"/>
          <w:highlight w:val="none"/>
          <w:lang w:val="en-US" w:eastAsia="zh-CN" w:bidi="ar"/>
        </w:rPr>
        <w:t>元</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立方米。按照居民用气占比</w:t>
      </w:r>
      <w:r>
        <w:rPr>
          <w:rFonts w:hint="default" w:ascii="Times New Roman" w:hAnsi="Times New Roman" w:eastAsia="方正仿宋_GBK" w:cs="Times New Roman"/>
          <w:color w:val="000000"/>
          <w:kern w:val="0"/>
          <w:sz w:val="32"/>
          <w:szCs w:val="32"/>
          <w:highlight w:val="none"/>
          <w:lang w:val="en-US" w:eastAsia="zh-CN" w:bidi="ar"/>
        </w:rPr>
        <w:t>6%</w:t>
      </w:r>
      <w:r>
        <w:rPr>
          <w:rFonts w:hint="eastAsia" w:ascii="方正仿宋_GBK" w:hAnsi="方正仿宋_GBK" w:eastAsia="方正仿宋_GBK" w:cs="方正仿宋_GBK"/>
          <w:color w:val="000000"/>
          <w:kern w:val="0"/>
          <w:sz w:val="32"/>
          <w:szCs w:val="32"/>
          <w:highlight w:val="none"/>
          <w:lang w:val="en-US" w:eastAsia="zh-CN" w:bidi="ar"/>
        </w:rPr>
        <w:t>，非居民用气占比</w:t>
      </w:r>
      <w:r>
        <w:rPr>
          <w:rFonts w:hint="default" w:ascii="Times New Roman" w:hAnsi="Times New Roman" w:eastAsia="方正仿宋_GBK" w:cs="Times New Roman"/>
          <w:color w:val="000000"/>
          <w:kern w:val="0"/>
          <w:sz w:val="32"/>
          <w:szCs w:val="32"/>
          <w:highlight w:val="none"/>
          <w:lang w:val="en-US" w:eastAsia="zh-CN" w:bidi="ar"/>
        </w:rPr>
        <w:t>94%</w:t>
      </w:r>
      <w:r>
        <w:rPr>
          <w:rFonts w:hint="eastAsia" w:ascii="方正仿宋_GBK" w:hAnsi="方正仿宋_GBK" w:eastAsia="方正仿宋_GBK" w:cs="方正仿宋_GBK"/>
          <w:color w:val="000000"/>
          <w:kern w:val="0"/>
          <w:sz w:val="32"/>
          <w:szCs w:val="32"/>
          <w:highlight w:val="none"/>
          <w:lang w:val="en-US" w:eastAsia="zh-CN" w:bidi="ar"/>
        </w:rPr>
        <w:t>分类测算，居民配气价格为</w:t>
      </w:r>
      <w:r>
        <w:rPr>
          <w:rFonts w:hint="default" w:ascii="Times New Roman" w:hAnsi="Times New Roman" w:eastAsia="方正仿宋_GBK" w:cs="Times New Roman"/>
          <w:color w:val="000000"/>
          <w:kern w:val="0"/>
          <w:sz w:val="32"/>
          <w:szCs w:val="32"/>
          <w:highlight w:val="none"/>
          <w:lang w:val="en-US" w:eastAsia="zh-CN" w:bidi="ar"/>
        </w:rPr>
        <w:t>0.98</w:t>
      </w:r>
      <w:r>
        <w:rPr>
          <w:rFonts w:hint="eastAsia" w:ascii="方正仿宋_GBK" w:hAnsi="方正仿宋_GBK" w:eastAsia="方正仿宋_GBK" w:cs="方正仿宋_GBK"/>
          <w:color w:val="000000"/>
          <w:kern w:val="0"/>
          <w:sz w:val="32"/>
          <w:szCs w:val="32"/>
          <w:highlight w:val="none"/>
          <w:lang w:val="en-US" w:eastAsia="zh-CN" w:bidi="ar"/>
        </w:rPr>
        <w:t>元</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立方米</w:t>
      </w:r>
      <w:r>
        <w:rPr>
          <w:rFonts w:hint="eastAsia" w:ascii="Times New Roman" w:hAnsi="Times New Roman" w:eastAsia="方正仿宋_GBK" w:cs="Times New Roman"/>
          <w:color w:val="000000"/>
          <w:kern w:val="0"/>
          <w:sz w:val="32"/>
          <w:szCs w:val="32"/>
          <w:highlight w:val="none"/>
          <w:lang w:val="en-US" w:eastAsia="zh-CN" w:bidi="ar"/>
        </w:rPr>
        <w:t>（较现行价格1.33元</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Times New Roman" w:hAnsi="Times New Roman" w:eastAsia="方正仿宋_GBK" w:cs="Times New Roman"/>
          <w:color w:val="000000"/>
          <w:kern w:val="0"/>
          <w:sz w:val="32"/>
          <w:szCs w:val="32"/>
          <w:highlight w:val="none"/>
          <w:lang w:val="en-US" w:eastAsia="zh-CN" w:bidi="ar"/>
        </w:rPr>
        <w:t>立方米下调26%）</w:t>
      </w:r>
      <w:r>
        <w:rPr>
          <w:rFonts w:hint="eastAsia" w:ascii="方正仿宋_GBK" w:hAnsi="方正仿宋_GBK" w:eastAsia="方正仿宋_GBK" w:cs="方正仿宋_GBK"/>
          <w:color w:val="000000"/>
          <w:kern w:val="0"/>
          <w:sz w:val="32"/>
          <w:szCs w:val="32"/>
          <w:highlight w:val="none"/>
          <w:lang w:val="en-US" w:eastAsia="zh-CN" w:bidi="ar"/>
        </w:rPr>
        <w:t>，非居民配气价格为</w:t>
      </w:r>
      <w:r>
        <w:rPr>
          <w:rFonts w:hint="default" w:ascii="Times New Roman" w:hAnsi="Times New Roman" w:eastAsia="方正仿宋_GBK" w:cs="Times New Roman"/>
          <w:color w:val="000000"/>
          <w:kern w:val="0"/>
          <w:sz w:val="32"/>
          <w:szCs w:val="32"/>
          <w:highlight w:val="none"/>
          <w:lang w:val="en-US" w:eastAsia="zh-CN" w:bidi="ar"/>
        </w:rPr>
        <w:t>0.79</w:t>
      </w:r>
      <w:r>
        <w:rPr>
          <w:rFonts w:hint="eastAsia" w:ascii="方正仿宋_GBK" w:hAnsi="方正仿宋_GBK" w:eastAsia="方正仿宋_GBK" w:cs="方正仿宋_GBK"/>
          <w:color w:val="000000"/>
          <w:kern w:val="0"/>
          <w:sz w:val="32"/>
          <w:szCs w:val="32"/>
          <w:highlight w:val="none"/>
          <w:lang w:val="en-US" w:eastAsia="zh-CN" w:bidi="ar"/>
        </w:rPr>
        <w:t>元</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立方米</w:t>
      </w:r>
      <w:r>
        <w:rPr>
          <w:rFonts w:hint="eastAsia" w:ascii="Times New Roman" w:hAnsi="Times New Roman" w:eastAsia="方正仿宋_GBK" w:cs="Times New Roman"/>
          <w:color w:val="000000"/>
          <w:kern w:val="0"/>
          <w:sz w:val="32"/>
          <w:szCs w:val="32"/>
          <w:highlight w:val="none"/>
          <w:lang w:val="en-US" w:eastAsia="zh-CN" w:bidi="ar"/>
        </w:rPr>
        <w:t>（较现行价格0.91元</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Times New Roman" w:hAnsi="Times New Roman" w:eastAsia="方正仿宋_GBK" w:cs="Times New Roman"/>
          <w:color w:val="000000"/>
          <w:kern w:val="0"/>
          <w:sz w:val="32"/>
          <w:szCs w:val="32"/>
          <w:highlight w:val="none"/>
          <w:lang w:val="en-US" w:eastAsia="zh-CN" w:bidi="ar"/>
        </w:rPr>
        <w:t>立方米下调13%）</w:t>
      </w:r>
      <w:r>
        <w:rPr>
          <w:rFonts w:hint="eastAsia" w:ascii="方正仿宋_GBK" w:hAnsi="方正仿宋_GBK" w:eastAsia="方正仿宋_GBK" w:cs="方正仿宋_GBK"/>
          <w:color w:val="000000"/>
          <w:kern w:val="0"/>
          <w:sz w:val="32"/>
          <w:szCs w:val="32"/>
          <w:highlight w:val="none"/>
          <w:lang w:val="en-US" w:eastAsia="zh-CN" w:bidi="ar"/>
        </w:rPr>
        <w:t>。</w:t>
      </w:r>
    </w:p>
    <w:p w14:paraId="4C1C810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kern w:val="2"/>
          <w:sz w:val="32"/>
          <w:szCs w:val="32"/>
          <w:highlight w:val="none"/>
        </w:rPr>
      </w:pPr>
      <w:r>
        <w:rPr>
          <w:rFonts w:hint="eastAsia" w:ascii="方正黑体_GBK" w:hAnsi="方正黑体_GBK" w:eastAsia="方正黑体_GBK" w:cs="方正黑体_GBK"/>
          <w:kern w:val="2"/>
          <w:sz w:val="32"/>
          <w:szCs w:val="32"/>
          <w:highlight w:val="none"/>
          <w:lang w:val="en-US" w:eastAsia="zh-CN" w:bidi="ar"/>
        </w:rPr>
        <w:t>四、天然气上下游价格联动机制</w:t>
      </w:r>
    </w:p>
    <w:p w14:paraId="4BCE616B">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（一）天然气上下游价格联动机制的含义</w:t>
      </w:r>
    </w:p>
    <w:p w14:paraId="3EC45D91">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1"/>
        <w:jc w:val="both"/>
        <w:textAlignment w:val="auto"/>
        <w:rPr>
          <w:rFonts w:hint="default" w:ascii="Times New Roman" w:hAnsi="Times New Roman" w:eastAsia="方正仿宋_GBK" w:cs="Times New Roman"/>
          <w:kern w:val="2"/>
          <w:sz w:val="32"/>
          <w:szCs w:val="32"/>
          <w:highlight w:val="none"/>
        </w:rPr>
      </w:pPr>
      <w:r>
        <w:rPr>
          <w:rFonts w:hint="eastAsia" w:ascii="方正仿宋_GBK" w:hAnsi="方正仿宋_GBK" w:eastAsia="方正仿宋_GBK" w:cs="方正仿宋_GBK"/>
          <w:kern w:val="2"/>
          <w:sz w:val="32"/>
          <w:szCs w:val="32"/>
          <w:highlight w:val="none"/>
          <w:lang w:val="en-US" w:eastAsia="zh-CN" w:bidi="ar"/>
        </w:rPr>
        <w:t>天然气上下游价格联动是指终端销售价格和燃气企业气源综合采购价格（含运输费用）实行联动。天然气上下游价格联动机制是指因上游天然气采购合同价格出现调整，而引起下游城镇天然气企业购进成本发生变化，需要及时通过调整终端到户销售价格予以疏导的价格机制，是天然气终端到户销售价格与上游天然气气源综合购进价格涨跌趋向一致的价格调整制度，包括上调和下调。</w:t>
      </w:r>
    </w:p>
    <w:p w14:paraId="76821D00">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（二）现行非居民天然气上下游价格联动机制</w:t>
      </w:r>
    </w:p>
    <w:p w14:paraId="272E7C92">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1"/>
        <w:jc w:val="both"/>
        <w:textAlignment w:val="auto"/>
        <w:rPr>
          <w:rFonts w:hint="default" w:ascii="Times New Roman" w:hAnsi="Times New Roman" w:eastAsia="方正仿宋_GBK" w:cs="Times New Roman"/>
          <w:color w:val="000000"/>
          <w:kern w:val="0"/>
          <w:sz w:val="32"/>
          <w:szCs w:val="32"/>
          <w:highlight w:val="none"/>
        </w:rPr>
      </w:pPr>
      <w:r>
        <w:t>根据《云南省发展和改革委员会关于完善非居民天然气上下游价格联动有关事项的通知》（云发改价格〔2020〕699号），由省统一制定全省非居民用气上下游价格联动机制，以6个月为联动调整周期，周期内气源综合加权采购价格变动幅度达到或超过基准门站价格（1.59元/立方米）8%时，按照文件确定的公式计算联动额并调整销售价格。市发展改革委按省级文件要求，依据各企业与上游企业签订的合同情况，实施非居民用气上下游价格联动，按采暖季和非采暖季联动调整非居民用气价格，居民用气未建立联动机制。</w:t>
      </w:r>
    </w:p>
    <w:p w14:paraId="08B629B9">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（三）完善联动机制的必要性</w:t>
      </w:r>
    </w:p>
    <w:p w14:paraId="1E2BFF4F">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b w:val="0"/>
          <w:bCs w:val="0"/>
          <w:color w:val="000000"/>
          <w:kern w:val="0"/>
          <w:sz w:val="32"/>
          <w:szCs w:val="32"/>
          <w:highlight w:val="none"/>
        </w:rPr>
      </w:pPr>
      <w:r>
        <w:rPr>
          <w:rFonts w:hint="eastAsia" w:ascii="方正仿宋_GBK" w:hAnsi="方正仿宋_GBK" w:eastAsia="方正仿宋_GBK" w:cs="方正仿宋_GBK"/>
          <w:color w:val="000000"/>
          <w:kern w:val="2"/>
          <w:sz w:val="32"/>
          <w:szCs w:val="32"/>
          <w:highlight w:val="none"/>
          <w:lang w:val="en-US" w:eastAsia="zh-CN" w:bidi="ar"/>
        </w:rPr>
        <w:t>为保障供用气两端的合法合理利益，确保天然气安全稳定供应，促进燃气企业可持续经营，</w:t>
      </w:r>
      <w:r>
        <w:rPr>
          <w:rFonts w:hint="eastAsia" w:ascii="方正仿宋_GBK" w:hAnsi="方正仿宋_GBK" w:eastAsia="方正仿宋_GBK" w:cs="方正仿宋_GBK"/>
          <w:color w:val="000000"/>
          <w:kern w:val="0"/>
          <w:sz w:val="32"/>
          <w:szCs w:val="32"/>
          <w:highlight w:val="none"/>
          <w:lang w:val="en-US" w:eastAsia="zh-CN" w:bidi="ar"/>
        </w:rPr>
        <w:t>省发展改革委印发《关于建立健全天然气上</w:t>
      </w:r>
      <w:r>
        <w:rPr>
          <w:rFonts w:hint="eastAsia" w:ascii="方正仿宋_GBK" w:hAnsi="方正仿宋_GBK" w:eastAsia="方正仿宋_GBK" w:cs="方正仿宋_GBK"/>
          <w:b w:val="0"/>
          <w:bCs w:val="0"/>
          <w:color w:val="000000"/>
          <w:kern w:val="0"/>
          <w:sz w:val="32"/>
          <w:szCs w:val="32"/>
          <w:highlight w:val="none"/>
          <w:lang w:val="en-US" w:eastAsia="zh-CN" w:bidi="ar"/>
        </w:rPr>
        <w:t>下游价格联动机制的通知》（云发改价格〔</w:t>
      </w:r>
      <w:r>
        <w:rPr>
          <w:rFonts w:hint="default" w:ascii="Times New Roman" w:hAnsi="Times New Roman" w:eastAsia="方正仿宋_GBK" w:cs="Times New Roman"/>
          <w:b w:val="0"/>
          <w:bCs w:val="0"/>
          <w:color w:val="000000"/>
          <w:kern w:val="0"/>
          <w:sz w:val="32"/>
          <w:szCs w:val="32"/>
          <w:highlight w:val="none"/>
          <w:lang w:val="en-US" w:eastAsia="zh-CN" w:bidi="ar"/>
        </w:rPr>
        <w:t>2023</w:t>
      </w:r>
      <w:r>
        <w:rPr>
          <w:rFonts w:hint="eastAsia" w:ascii="方正仿宋_GBK" w:hAnsi="方正仿宋_GBK" w:eastAsia="方正仿宋_GBK" w:cs="方正仿宋_GBK"/>
          <w:b w:val="0"/>
          <w:bCs w:val="0"/>
          <w:color w:val="000000"/>
          <w:kern w:val="0"/>
          <w:sz w:val="32"/>
          <w:szCs w:val="32"/>
          <w:highlight w:val="none"/>
          <w:lang w:val="en-US" w:eastAsia="zh-CN" w:bidi="ar"/>
        </w:rPr>
        <w:t>〕</w:t>
      </w:r>
      <w:r>
        <w:rPr>
          <w:rFonts w:hint="default" w:ascii="Times New Roman" w:hAnsi="Times New Roman" w:eastAsia="方正仿宋_GBK" w:cs="Times New Roman"/>
          <w:b w:val="0"/>
          <w:bCs w:val="0"/>
          <w:color w:val="000000"/>
          <w:kern w:val="0"/>
          <w:sz w:val="32"/>
          <w:szCs w:val="32"/>
          <w:highlight w:val="none"/>
          <w:lang w:val="en-US" w:eastAsia="zh-CN" w:bidi="ar"/>
        </w:rPr>
        <w:t>63</w:t>
      </w:r>
      <w:r>
        <w:rPr>
          <w:rFonts w:hint="eastAsia" w:ascii="方正仿宋_GBK" w:hAnsi="方正仿宋_GBK" w:eastAsia="方正仿宋_GBK" w:cs="方正仿宋_GBK"/>
          <w:b w:val="0"/>
          <w:bCs w:val="0"/>
          <w:color w:val="000000"/>
          <w:kern w:val="0"/>
          <w:sz w:val="32"/>
          <w:szCs w:val="32"/>
          <w:highlight w:val="none"/>
          <w:lang w:val="en-US" w:eastAsia="zh-CN" w:bidi="ar"/>
        </w:rPr>
        <w:t>号），要求各州（市）建立涵盖居民和非居民用气的天然气上下游价格联动机制。</w:t>
      </w:r>
    </w:p>
    <w:p w14:paraId="12EA0717">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 xml:space="preserve">（四）联动范围 </w:t>
      </w:r>
    </w:p>
    <w:p w14:paraId="402AD9FF">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接入中缅天然气管道、使用管道天然气的区域，终端销售价格由气源平均采购价格、省内管道运输价格、管道燃气配气价格构成。其中，气源平均采购价格按照燃气企业采购的全部气源，包括管道天然气、液化天然气（</w:t>
      </w:r>
      <w:r>
        <w:rPr>
          <w:rFonts w:hint="default" w:ascii="Times New Roman" w:hAnsi="Times New Roman" w:eastAsia="方正仿宋_GBK" w:cs="Times New Roman"/>
          <w:color w:val="000000"/>
          <w:kern w:val="0"/>
          <w:sz w:val="32"/>
          <w:szCs w:val="32"/>
          <w:highlight w:val="none"/>
          <w:lang w:val="en-US" w:eastAsia="zh-CN" w:bidi="ar"/>
        </w:rPr>
        <w:t>LNG</w:t>
      </w:r>
      <w:r>
        <w:rPr>
          <w:rFonts w:hint="eastAsia" w:ascii="方正仿宋_GBK" w:hAnsi="方正仿宋_GBK" w:eastAsia="方正仿宋_GBK" w:cs="方正仿宋_GBK"/>
          <w:color w:val="000000"/>
          <w:kern w:val="0"/>
          <w:sz w:val="32"/>
          <w:szCs w:val="32"/>
          <w:highlight w:val="none"/>
          <w:lang w:val="en-US" w:eastAsia="zh-CN" w:bidi="ar"/>
        </w:rPr>
        <w:t>）和压缩天然气（</w:t>
      </w:r>
      <w:r>
        <w:rPr>
          <w:rFonts w:hint="default" w:ascii="Times New Roman" w:hAnsi="Times New Roman" w:eastAsia="方正仿宋_GBK" w:cs="Times New Roman"/>
          <w:color w:val="000000"/>
          <w:kern w:val="0"/>
          <w:sz w:val="32"/>
          <w:szCs w:val="32"/>
          <w:highlight w:val="none"/>
          <w:lang w:val="en-US" w:eastAsia="zh-CN" w:bidi="ar"/>
        </w:rPr>
        <w:t>CNG</w:t>
      </w:r>
      <w:r>
        <w:rPr>
          <w:rFonts w:hint="eastAsia" w:ascii="方正仿宋_GBK" w:hAnsi="方正仿宋_GBK" w:eastAsia="方正仿宋_GBK" w:cs="方正仿宋_GBK"/>
          <w:color w:val="000000"/>
          <w:kern w:val="0"/>
          <w:sz w:val="32"/>
          <w:szCs w:val="32"/>
          <w:highlight w:val="none"/>
          <w:lang w:val="en-US" w:eastAsia="zh-CN" w:bidi="ar"/>
        </w:rPr>
        <w:t>）等价格加权平均确定。</w:t>
      </w:r>
    </w:p>
    <w:p w14:paraId="5F0BC0ED">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全部使用</w:t>
      </w:r>
      <w:r>
        <w:rPr>
          <w:rFonts w:hint="default" w:ascii="Times New Roman" w:hAnsi="Times New Roman" w:eastAsia="方正仿宋_GBK" w:cs="Times New Roman"/>
          <w:color w:val="000000"/>
          <w:kern w:val="0"/>
          <w:sz w:val="32"/>
          <w:szCs w:val="32"/>
          <w:highlight w:val="none"/>
          <w:lang w:val="en-US" w:eastAsia="zh-CN" w:bidi="ar"/>
        </w:rPr>
        <w:t>LNG\CNG</w:t>
      </w:r>
      <w:r>
        <w:rPr>
          <w:rFonts w:hint="eastAsia" w:ascii="方正仿宋_GBK" w:hAnsi="方正仿宋_GBK" w:eastAsia="方正仿宋_GBK" w:cs="方正仿宋_GBK"/>
          <w:color w:val="000000"/>
          <w:kern w:val="0"/>
          <w:sz w:val="32"/>
          <w:szCs w:val="32"/>
          <w:highlight w:val="none"/>
          <w:lang w:val="en-US" w:eastAsia="zh-CN" w:bidi="ar"/>
        </w:rPr>
        <w:t>的区域，终端销售价格由气源平均采购价格和配气价格构成。其中，气源平均采购价格按照燃气企业采购的全部</w:t>
      </w:r>
      <w:r>
        <w:rPr>
          <w:rFonts w:hint="default" w:ascii="Times New Roman" w:hAnsi="Times New Roman" w:eastAsia="方正仿宋_GBK" w:cs="Times New Roman"/>
          <w:color w:val="000000"/>
          <w:kern w:val="0"/>
          <w:sz w:val="32"/>
          <w:szCs w:val="32"/>
          <w:highlight w:val="none"/>
          <w:lang w:val="en-US" w:eastAsia="zh-CN" w:bidi="ar"/>
        </w:rPr>
        <w:t>LNG\CNG</w:t>
      </w:r>
      <w:r>
        <w:rPr>
          <w:rFonts w:hint="eastAsia" w:ascii="方正仿宋_GBK" w:hAnsi="方正仿宋_GBK" w:eastAsia="方正仿宋_GBK" w:cs="方正仿宋_GBK"/>
          <w:color w:val="000000"/>
          <w:kern w:val="0"/>
          <w:sz w:val="32"/>
          <w:szCs w:val="32"/>
          <w:highlight w:val="none"/>
          <w:lang w:val="en-US" w:eastAsia="zh-CN" w:bidi="ar"/>
        </w:rPr>
        <w:t>采购价格和运输费用加权平均确定。</w:t>
      </w:r>
    </w:p>
    <w:p w14:paraId="31F62DC3">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000000"/>
          <w:kern w:val="2"/>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实施联动时，考虑燃气企业全部经营区域内的气源采购价格。气源采购价格按照全市所有同类燃气企业气源采购价格加权平均确定。</w:t>
      </w:r>
      <w:r>
        <w:rPr>
          <w:rFonts w:hint="default" w:ascii="Times New Roman" w:hAnsi="Times New Roman" w:eastAsia="方正仿宋_GBK" w:cs="Times New Roman"/>
          <w:color w:val="000000"/>
          <w:kern w:val="0"/>
          <w:sz w:val="32"/>
          <w:szCs w:val="32"/>
          <w:highlight w:val="none"/>
          <w:lang w:val="en-US" w:eastAsia="zh-CN" w:bidi="ar"/>
        </w:rPr>
        <w:t xml:space="preserve"> </w:t>
      </w:r>
      <w:r>
        <w:rPr>
          <w:rFonts w:hint="eastAsia" w:ascii="方正仿宋_GBK" w:hAnsi="方正仿宋_GBK" w:eastAsia="方正仿宋_GBK" w:cs="方正仿宋_GBK"/>
          <w:color w:val="000000"/>
          <w:kern w:val="0"/>
          <w:sz w:val="32"/>
          <w:szCs w:val="32"/>
          <w:highlight w:val="none"/>
          <w:lang w:val="en-US" w:eastAsia="zh-CN" w:bidi="ar"/>
        </w:rPr>
        <w:t>具体联动的气源平均采购价格由市发展改革委结合实际情况确定，并根据气源区分居民用气和非居民用气。当采购价格明显高于主要气源平均价格时，可根据实际不予联动或降低联动标准。</w:t>
      </w:r>
    </w:p>
    <w:p w14:paraId="30986952">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 xml:space="preserve">（五）联动周期 </w:t>
      </w:r>
    </w:p>
    <w:p w14:paraId="350061A4">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84" w:firstLineChars="200"/>
        <w:jc w:val="left"/>
        <w:textAlignment w:val="auto"/>
        <w:rPr>
          <w:rFonts w:hint="default" w:ascii="Times New Roman" w:hAnsi="Times New Roman" w:eastAsia="方正仿宋_GBK" w:cs="Times New Roman"/>
          <w:color w:val="000000"/>
          <w:kern w:val="2"/>
          <w:sz w:val="32"/>
          <w:szCs w:val="32"/>
          <w:highlight w:val="none"/>
        </w:rPr>
      </w:pPr>
      <w:r>
        <w:rPr>
          <w:rFonts w:hint="eastAsia" w:ascii="方正仿宋_GBK" w:hAnsi="方正仿宋_GBK" w:eastAsia="方正仿宋_GBK" w:cs="方正仿宋_GBK"/>
          <w:color w:val="000000"/>
          <w:spacing w:val="11"/>
          <w:kern w:val="2"/>
          <w:sz w:val="32"/>
          <w:szCs w:val="32"/>
          <w:highlight w:val="none"/>
          <w:lang w:val="en-US" w:eastAsia="zh-CN" w:bidi="ar"/>
        </w:rPr>
        <w:t>居民用气及非居民用气销售价格均按采暖季（</w:t>
      </w:r>
      <w:r>
        <w:rPr>
          <w:rFonts w:hint="default" w:ascii="Times New Roman" w:hAnsi="Times New Roman" w:eastAsia="方正仿宋_GBK" w:cs="Times New Roman"/>
          <w:color w:val="000000"/>
          <w:spacing w:val="11"/>
          <w:kern w:val="2"/>
          <w:sz w:val="32"/>
          <w:szCs w:val="32"/>
          <w:highlight w:val="none"/>
          <w:lang w:val="en-US" w:eastAsia="zh-CN" w:bidi="ar"/>
        </w:rPr>
        <w:t>11</w:t>
      </w:r>
      <w:r>
        <w:rPr>
          <w:rFonts w:hint="eastAsia" w:ascii="宋体" w:hAnsi="宋体" w:eastAsia="宋体" w:cs="宋体"/>
          <w:color w:val="000000"/>
          <w:spacing w:val="11"/>
          <w:kern w:val="2"/>
          <w:sz w:val="32"/>
          <w:szCs w:val="32"/>
          <w:highlight w:val="none"/>
          <w:lang w:val="en-US" w:eastAsia="zh-CN" w:bidi="ar"/>
        </w:rPr>
        <w:t>－</w:t>
      </w:r>
      <w:r>
        <w:rPr>
          <w:rFonts w:hint="default" w:ascii="Times New Roman" w:hAnsi="Times New Roman" w:eastAsia="方正仿宋_GBK" w:cs="Times New Roman"/>
          <w:color w:val="000000"/>
          <w:spacing w:val="11"/>
          <w:kern w:val="2"/>
          <w:sz w:val="32"/>
          <w:szCs w:val="32"/>
          <w:highlight w:val="none"/>
          <w:lang w:val="en-US" w:eastAsia="zh-CN" w:bidi="ar"/>
        </w:rPr>
        <w:t>3</w:t>
      </w:r>
      <w:r>
        <w:rPr>
          <w:rFonts w:hint="eastAsia" w:ascii="方正仿宋_GBK" w:hAnsi="方正仿宋_GBK" w:eastAsia="方正仿宋_GBK" w:cs="方正仿宋_GBK"/>
          <w:color w:val="000000"/>
          <w:spacing w:val="11"/>
          <w:kern w:val="2"/>
          <w:sz w:val="32"/>
          <w:szCs w:val="32"/>
          <w:highlight w:val="none"/>
          <w:lang w:val="en-US" w:eastAsia="zh-CN" w:bidi="ar"/>
        </w:rPr>
        <w:t>月）和非采暖季（</w:t>
      </w:r>
      <w:r>
        <w:rPr>
          <w:rFonts w:hint="default" w:ascii="Times New Roman" w:hAnsi="Times New Roman" w:eastAsia="方正仿宋_GBK" w:cs="Times New Roman"/>
          <w:color w:val="000000"/>
          <w:spacing w:val="11"/>
          <w:kern w:val="2"/>
          <w:sz w:val="32"/>
          <w:szCs w:val="32"/>
          <w:highlight w:val="none"/>
          <w:lang w:val="en-US" w:eastAsia="zh-CN" w:bidi="ar"/>
        </w:rPr>
        <w:t>4</w:t>
      </w:r>
      <w:r>
        <w:rPr>
          <w:rFonts w:hint="eastAsia" w:ascii="宋体" w:hAnsi="宋体" w:eastAsia="宋体" w:cs="宋体"/>
          <w:color w:val="000000"/>
          <w:spacing w:val="11"/>
          <w:kern w:val="2"/>
          <w:sz w:val="32"/>
          <w:szCs w:val="32"/>
          <w:highlight w:val="none"/>
          <w:lang w:val="en-US" w:eastAsia="zh-CN" w:bidi="ar"/>
        </w:rPr>
        <w:t>－</w:t>
      </w:r>
      <w:r>
        <w:rPr>
          <w:rFonts w:hint="default" w:ascii="Times New Roman" w:hAnsi="Times New Roman" w:eastAsia="方正仿宋_GBK" w:cs="Times New Roman"/>
          <w:color w:val="000000"/>
          <w:spacing w:val="11"/>
          <w:kern w:val="2"/>
          <w:sz w:val="32"/>
          <w:szCs w:val="32"/>
          <w:highlight w:val="none"/>
          <w:lang w:val="en-US" w:eastAsia="zh-CN" w:bidi="ar"/>
        </w:rPr>
        <w:t>10</w:t>
      </w:r>
      <w:r>
        <w:rPr>
          <w:rFonts w:hint="eastAsia" w:ascii="方正仿宋_GBK" w:hAnsi="方正仿宋_GBK" w:eastAsia="方正仿宋_GBK" w:cs="方正仿宋_GBK"/>
          <w:color w:val="000000"/>
          <w:spacing w:val="11"/>
          <w:kern w:val="2"/>
          <w:sz w:val="32"/>
          <w:szCs w:val="32"/>
          <w:highlight w:val="none"/>
          <w:lang w:val="en-US" w:eastAsia="zh-CN" w:bidi="ar"/>
        </w:rPr>
        <w:t>月）进行联动。</w:t>
      </w:r>
    </w:p>
    <w:p w14:paraId="1AF462FB">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 xml:space="preserve">（六）联动方式 </w:t>
      </w:r>
    </w:p>
    <w:p w14:paraId="4B437052">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000000"/>
          <w:kern w:val="2"/>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终端销售价格根据当期预测气源采购价格变动情况及上一周期偏差校核情况进行相应调整。当期预测气源采购价格根据各燃气企业已签订合同明确的未来天然气购进数量、气源价格情况，参考往年同期用气需求情况，结合实际对气源采购价格进行合理预测。同时建立偏差校核机制，</w:t>
      </w:r>
      <w:r>
        <w:rPr>
          <w:rFonts w:hint="eastAsia" w:ascii="方正仿宋_GBK" w:hAnsi="方正仿宋_GBK" w:eastAsia="方正仿宋_GBK" w:cs="方正仿宋_GBK"/>
          <w:color w:val="000000"/>
          <w:spacing w:val="11"/>
          <w:kern w:val="2"/>
          <w:sz w:val="32"/>
          <w:szCs w:val="32"/>
          <w:highlight w:val="none"/>
          <w:lang w:val="en-US" w:eastAsia="zh-CN" w:bidi="ar"/>
        </w:rPr>
        <w:t>偏差金额</w:t>
      </w:r>
      <w:r>
        <w:rPr>
          <w:rFonts w:hint="default" w:ascii="Times New Roman" w:hAnsi="Times New Roman" w:eastAsia="方正仿宋_GBK" w:cs="Times New Roman"/>
          <w:color w:val="000000"/>
          <w:spacing w:val="11"/>
          <w:kern w:val="2"/>
          <w:sz w:val="32"/>
          <w:szCs w:val="32"/>
          <w:highlight w:val="none"/>
          <w:lang w:val="en-US" w:eastAsia="zh-CN" w:bidi="ar"/>
        </w:rPr>
        <w:t>=</w:t>
      </w:r>
      <w:r>
        <w:rPr>
          <w:rFonts w:hint="eastAsia" w:ascii="方正仿宋_GBK" w:hAnsi="方正仿宋_GBK" w:eastAsia="方正仿宋_GBK" w:cs="方正仿宋_GBK"/>
          <w:color w:val="000000"/>
          <w:spacing w:val="11"/>
          <w:kern w:val="2"/>
          <w:sz w:val="32"/>
          <w:szCs w:val="32"/>
          <w:highlight w:val="none"/>
          <w:lang w:val="en-US" w:eastAsia="zh-CN" w:bidi="ar"/>
        </w:rPr>
        <w:t>当期预测采购价格－当期实际采购价格。</w:t>
      </w:r>
      <w:r>
        <w:rPr>
          <w:rFonts w:hint="eastAsia" w:ascii="方正仿宋_GBK" w:hAnsi="方正仿宋_GBK" w:eastAsia="方正仿宋_GBK" w:cs="方正仿宋_GBK"/>
          <w:color w:val="000000"/>
          <w:kern w:val="0"/>
          <w:sz w:val="32"/>
          <w:szCs w:val="32"/>
          <w:highlight w:val="none"/>
          <w:lang w:val="en-US" w:eastAsia="zh-CN" w:bidi="ar"/>
        </w:rPr>
        <w:t>对上一周期预测气源采购价格与实际采购价格的差异部分、预测销售情况与实际销售情况的差异部分，纳入当期联动统筹考虑。</w:t>
      </w:r>
    </w:p>
    <w:p w14:paraId="7AC722AD">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 xml:space="preserve">（七）联动幅度 </w:t>
      </w:r>
    </w:p>
    <w:p w14:paraId="5C4AF15C">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84" w:firstLineChars="200"/>
        <w:jc w:val="left"/>
        <w:textAlignment w:val="auto"/>
        <w:rPr>
          <w:rFonts w:hint="default" w:ascii="Times New Roman" w:hAnsi="Times New Roman" w:eastAsia="方正仿宋_GBK" w:cs="Times New Roman"/>
          <w:color w:val="000000"/>
          <w:spacing w:val="11"/>
          <w:kern w:val="2"/>
          <w:sz w:val="32"/>
          <w:szCs w:val="32"/>
          <w:highlight w:val="none"/>
        </w:rPr>
      </w:pPr>
      <w:r>
        <w:rPr>
          <w:rFonts w:hint="eastAsia" w:ascii="方正仿宋_GBK" w:hAnsi="方正仿宋_GBK" w:eastAsia="方正仿宋_GBK" w:cs="方正仿宋_GBK"/>
          <w:color w:val="000000"/>
          <w:spacing w:val="11"/>
          <w:kern w:val="2"/>
          <w:sz w:val="32"/>
          <w:szCs w:val="32"/>
          <w:highlight w:val="none"/>
          <w:lang w:val="en-US" w:eastAsia="zh-CN" w:bidi="ar"/>
        </w:rPr>
        <w:t>居民用气终端销售价格联动时，为避免过度增加居民用户负担，坚持平稳从紧原则，单次上调幅度每立方米不超过</w:t>
      </w:r>
      <w:r>
        <w:rPr>
          <w:rFonts w:hint="default" w:ascii="Times New Roman" w:hAnsi="Times New Roman" w:eastAsia="方正仿宋_GBK" w:cs="Times New Roman"/>
          <w:color w:val="000000"/>
          <w:spacing w:val="11"/>
          <w:kern w:val="2"/>
          <w:sz w:val="32"/>
          <w:szCs w:val="32"/>
          <w:highlight w:val="none"/>
          <w:lang w:val="en-US" w:eastAsia="zh-CN" w:bidi="ar"/>
        </w:rPr>
        <w:t>0.50</w:t>
      </w:r>
      <w:r>
        <w:rPr>
          <w:rFonts w:hint="eastAsia" w:ascii="方正仿宋_GBK" w:hAnsi="方正仿宋_GBK" w:eastAsia="方正仿宋_GBK" w:cs="方正仿宋_GBK"/>
          <w:color w:val="000000"/>
          <w:spacing w:val="11"/>
          <w:kern w:val="2"/>
          <w:sz w:val="32"/>
          <w:szCs w:val="32"/>
          <w:highlight w:val="none"/>
          <w:lang w:val="en-US" w:eastAsia="zh-CN" w:bidi="ar"/>
        </w:rPr>
        <w:t>元，单次下调幅度不限。非居民用气终端销售价格联动幅度原则上不设限制。</w:t>
      </w:r>
    </w:p>
    <w:p w14:paraId="5FC84275">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000000"/>
          <w:spacing w:val="11"/>
          <w:kern w:val="2"/>
          <w:sz w:val="32"/>
          <w:szCs w:val="32"/>
          <w:highlight w:val="none"/>
        </w:rPr>
      </w:pPr>
      <w:r>
        <w:rPr>
          <w:rFonts w:hint="eastAsia" w:ascii="方正仿宋_GBK" w:hAnsi="方正仿宋_GBK" w:eastAsia="方正仿宋_GBK" w:cs="方正仿宋_GBK"/>
          <w:kern w:val="2"/>
          <w:sz w:val="32"/>
          <w:szCs w:val="32"/>
          <w:highlight w:val="none"/>
          <w:lang w:val="en-US" w:eastAsia="zh-CN" w:bidi="ar"/>
        </w:rPr>
        <w:t>当上游价格上涨过高时，综合考虑社会承受能力，按照兼顾燃气企业、消费者利益和保持经济平稳运行的原则，可适度控制居民或非居民用气终端销售价格联动调整幅度。当上游价格持续大幅上调，可能对居民正常生活或经济平稳运行产生不利影响时，可对居民或非居民用气终端销售价格暂时中止联动。应调未调额度在下一联动周期统筹考虑。</w:t>
      </w:r>
      <w:r>
        <w:rPr>
          <w:rFonts w:hint="default" w:ascii="Times New Roman" w:hAnsi="Times New Roman" w:eastAsia="方正仿宋_GBK" w:cs="Times New Roman"/>
          <w:color w:val="000000"/>
          <w:spacing w:val="11"/>
          <w:kern w:val="2"/>
          <w:sz w:val="32"/>
          <w:szCs w:val="32"/>
          <w:highlight w:val="none"/>
          <w:lang w:val="en-US" w:eastAsia="zh-CN" w:bidi="ar"/>
        </w:rPr>
        <w:t xml:space="preserve"> </w:t>
      </w:r>
    </w:p>
    <w:p w14:paraId="7EF5A87F">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 xml:space="preserve">（八）联动公式 </w:t>
      </w:r>
    </w:p>
    <w:p w14:paraId="09BE102B">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lang w:val="en-US" w:eastAsia="zh-CN" w:bidi="ar"/>
        </w:rPr>
        <w:t>1.</w:t>
      </w:r>
      <w:r>
        <w:rPr>
          <w:rFonts w:hint="eastAsia" w:ascii="方正仿宋_GBK" w:hAnsi="方正仿宋_GBK" w:eastAsia="方正仿宋_GBK" w:cs="方正仿宋_GBK"/>
          <w:color w:val="000000"/>
          <w:kern w:val="0"/>
          <w:sz w:val="32"/>
          <w:szCs w:val="32"/>
          <w:highlight w:val="none"/>
          <w:lang w:val="en-US" w:eastAsia="zh-CN" w:bidi="ar"/>
        </w:rPr>
        <w:t>首次建立联动机制，销售价格按如下公式确定</w:t>
      </w:r>
    </w:p>
    <w:p w14:paraId="2612F67F">
      <w:pPr>
        <w:keepNext w:val="0"/>
        <w:keepLines w:val="0"/>
        <w:pageBreakBefore w:val="0"/>
        <w:widowControl w:val="0"/>
        <w:suppressLineNumbers w:val="0"/>
        <w:tabs>
          <w:tab w:val="center" w:pos="4153"/>
          <w:tab w:val="right" w:pos="8306"/>
        </w:tabs>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终端销售价格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本期预测加权平均采购价格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管输价格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配气价格。</w:t>
      </w:r>
    </w:p>
    <w:p w14:paraId="58FB3C1E">
      <w:pPr>
        <w:keepNext w:val="0"/>
        <w:keepLines w:val="0"/>
        <w:pageBreakBefore w:val="0"/>
        <w:widowControl w:val="0"/>
        <w:suppressLineNumbers w:val="0"/>
        <w:tabs>
          <w:tab w:val="center" w:pos="4153"/>
          <w:tab w:val="right" w:pos="8306"/>
        </w:tabs>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lang w:val="en-US" w:eastAsia="zh-CN" w:bidi="ar"/>
        </w:rPr>
        <w:t>2.</w:t>
      </w:r>
      <w:r>
        <w:rPr>
          <w:rFonts w:hint="eastAsia" w:ascii="方正仿宋_GBK" w:hAnsi="方正仿宋_GBK" w:eastAsia="方正仿宋_GBK" w:cs="方正仿宋_GBK"/>
          <w:color w:val="000000"/>
          <w:kern w:val="0"/>
          <w:sz w:val="32"/>
          <w:szCs w:val="32"/>
          <w:highlight w:val="none"/>
          <w:lang w:val="en-US" w:eastAsia="zh-CN" w:bidi="ar"/>
        </w:rPr>
        <w:t>机制建立后，销售价格按如下公式确定</w:t>
      </w:r>
    </w:p>
    <w:p w14:paraId="34979769">
      <w:pPr>
        <w:keepNext w:val="0"/>
        <w:keepLines w:val="0"/>
        <w:pageBreakBefore w:val="0"/>
        <w:widowControl w:val="0"/>
        <w:suppressLineNumbers w:val="0"/>
        <w:tabs>
          <w:tab w:val="center" w:pos="4153"/>
          <w:tab w:val="right" w:pos="8306"/>
        </w:tabs>
        <w:kinsoku/>
        <w:wordWrap/>
        <w:overflowPunct/>
        <w:topLinePunct w:val="0"/>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终端销售价格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上期销售价格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价格联动调整金额。</w:t>
      </w:r>
    </w:p>
    <w:p w14:paraId="7B73314A">
      <w:pPr>
        <w:pStyle w:val="10"/>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价格联动调整金额</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本期预测加权平均采购价格－上期预测加权平均采购价格</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上期应调未调金额及偏差金额。</w:t>
      </w:r>
    </w:p>
    <w:p w14:paraId="476DB2D3">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气源采购价格已包含管输价格、配气价格的不得重复计收。居民用气终端销售价格历史积累的应顺未顺金额，结合实际情况，在首次建立联动机制及以后调整终端销售价格时分周期逐步调整。</w:t>
      </w:r>
    </w:p>
    <w:p w14:paraId="1B5FEAD0">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 xml:space="preserve">（九）联动程序 </w:t>
      </w:r>
    </w:p>
    <w:p w14:paraId="668B8A3D">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kern w:val="2"/>
          <w:sz w:val="32"/>
          <w:szCs w:val="32"/>
          <w:highlight w:val="none"/>
        </w:rPr>
      </w:pPr>
      <w:r>
        <w:rPr>
          <w:rFonts w:hint="eastAsia" w:ascii="方正仿宋_GBK" w:hAnsi="方正仿宋_GBK" w:eastAsia="方正仿宋_GBK" w:cs="方正仿宋_GBK"/>
          <w:kern w:val="2"/>
          <w:sz w:val="32"/>
          <w:szCs w:val="32"/>
          <w:highlight w:val="none"/>
          <w:lang w:val="en-US" w:eastAsia="zh-CN" w:bidi="ar"/>
        </w:rPr>
        <w:t>天然气上下游价格联动机制建立后，按机制联动居民和非居民用气终端销售价格，市发展改革委组织实施。各燃气企业向市发展改革委提出价格联动申请，并提供气源采购价格有关资料（包括购气合同、发票、结算单据等），市发展改革委在严格审核气源采购价格有关资料后，根据机制方案及时联动实施。对于上游价格上涨过高时的特殊情形联动，由市发展改革委报请市人民政府研究后，按照市人民政府的批复实施。</w:t>
      </w:r>
    </w:p>
    <w:p w14:paraId="5ABD7DD7">
      <w:pPr>
        <w:pStyle w:val="10"/>
        <w:keepNext w:val="0"/>
        <w:keepLines w:val="0"/>
        <w:pageBreakBefore w:val="0"/>
        <w:widowControl w:val="0"/>
        <w:numPr>
          <w:ilvl w:val="0"/>
          <w:numId w:val="2"/>
        </w:numPr>
        <w:suppressLineNumbers w:val="0"/>
        <w:kinsoku/>
        <w:wordWrap/>
        <w:overflowPunct/>
        <w:topLinePunct w:val="0"/>
        <w:autoSpaceDE w:val="0"/>
        <w:autoSpaceDN/>
        <w:bidi w:val="0"/>
        <w:snapToGrid w:val="0"/>
        <w:spacing w:before="0" w:beforeAutospacing="0" w:after="0" w:afterAutospacing="0" w:line="560" w:lineRule="exact"/>
        <w:ind w:left="420" w:leftChars="200" w:right="0"/>
        <w:jc w:val="both"/>
        <w:textAlignment w:val="auto"/>
        <w:rPr>
          <w:rFonts w:hint="eastAsia" w:ascii="方正黑体_GBK" w:hAnsi="方正黑体_GBK" w:eastAsia="方正黑体_GBK" w:cs="方正黑体_GBK"/>
          <w:kern w:val="2"/>
          <w:sz w:val="32"/>
          <w:szCs w:val="32"/>
          <w:highlight w:val="none"/>
        </w:rPr>
      </w:pPr>
      <w:r>
        <w:rPr>
          <w:rFonts w:hint="eastAsia" w:ascii="方正黑体_GBK" w:hAnsi="方正黑体_GBK" w:eastAsia="方正黑体_GBK" w:cs="方正黑体_GBK"/>
          <w:kern w:val="2"/>
          <w:sz w:val="32"/>
          <w:szCs w:val="32"/>
          <w:highlight w:val="none"/>
          <w:lang w:val="en-US" w:eastAsia="zh-CN" w:bidi="ar"/>
        </w:rPr>
        <w:t>终端价格影响分析及配套措施</w:t>
      </w:r>
    </w:p>
    <w:p w14:paraId="7F47E062">
      <w:pPr>
        <w:keepNext w:val="0"/>
        <w:keepLines w:val="0"/>
        <w:pageBreakBefore w:val="0"/>
        <w:widowControl w:val="0"/>
        <w:numPr>
          <w:ilvl w:val="0"/>
          <w:numId w:val="3"/>
        </w:numPr>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首次联动后终端价格预测及影响分析</w:t>
      </w:r>
    </w:p>
    <w:p w14:paraId="2F69ECFF">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仿宋_GBK" w:hAnsi="方正仿宋_GBK" w:eastAsia="方正仿宋_GBK" w:cs="方正仿宋_GBK"/>
          <w:kern w:val="2"/>
          <w:sz w:val="32"/>
          <w:szCs w:val="32"/>
          <w:highlight w:val="none"/>
          <w:lang w:val="en-US" w:eastAsia="zh-CN" w:bidi="ar"/>
        </w:rPr>
      </w:pPr>
      <w:r>
        <w:rPr>
          <w:rFonts w:hint="eastAsia" w:ascii="方正仿宋_GBK" w:hAnsi="方正仿宋_GBK" w:eastAsia="方正仿宋_GBK" w:cs="方正仿宋_GBK"/>
          <w:kern w:val="2"/>
          <w:sz w:val="32"/>
          <w:szCs w:val="32"/>
          <w:highlight w:val="none"/>
          <w:lang w:val="en-US" w:eastAsia="zh-CN" w:bidi="ar"/>
        </w:rPr>
        <w:t>在校核配气价格的基础上，按照新联动机制进行联动，预测首次联动后的终端价格与</w:t>
      </w:r>
      <w:r>
        <w:rPr>
          <w:rFonts w:hint="default" w:ascii="Times New Roman" w:hAnsi="Times New Roman" w:eastAsia="方正仿宋_GBK" w:cs="Times New Roman"/>
          <w:kern w:val="2"/>
          <w:sz w:val="32"/>
          <w:szCs w:val="32"/>
          <w:highlight w:val="none"/>
          <w:lang w:val="en-US" w:eastAsia="zh-CN" w:bidi="ar"/>
        </w:rPr>
        <w:t>2024</w:t>
      </w:r>
      <w:r>
        <w:rPr>
          <w:rFonts w:hint="eastAsia" w:ascii="方正仿宋_GBK" w:hAnsi="方正仿宋_GBK" w:eastAsia="方正仿宋_GBK" w:cs="方正仿宋_GBK"/>
          <w:kern w:val="2"/>
          <w:sz w:val="32"/>
          <w:szCs w:val="32"/>
          <w:highlight w:val="none"/>
          <w:lang w:val="en-US" w:eastAsia="zh-CN" w:bidi="ar"/>
        </w:rPr>
        <w:t>年同期价格相比，基本保持不变</w:t>
      </w:r>
      <w:r>
        <w:rPr>
          <w:rFonts w:hint="default" w:ascii="Times New Roman" w:hAnsi="Times New Roman" w:eastAsia="方正仿宋_GBK" w:cs="Times New Roman"/>
          <w:kern w:val="2"/>
          <w:sz w:val="32"/>
          <w:szCs w:val="32"/>
          <w:highlight w:val="none"/>
          <w:lang w:val="en-US" w:eastAsia="zh-CN" w:bidi="ar"/>
        </w:rPr>
        <w:t>（居民用气第一阶梯价格2.92</w:t>
      </w:r>
      <w:r>
        <w:rPr>
          <w:rFonts w:hint="default" w:ascii="Times New Roman" w:hAnsi="Times New Roman" w:eastAsia="方正仿宋_GBK" w:cs="Times New Roman"/>
          <w:color w:val="000000"/>
          <w:kern w:val="0"/>
          <w:sz w:val="32"/>
          <w:szCs w:val="32"/>
          <w:highlight w:val="none"/>
          <w:lang w:val="en-US" w:eastAsia="zh-CN" w:bidi="ar"/>
        </w:rPr>
        <w:t>元/立方米</w:t>
      </w:r>
      <w:r>
        <w:rPr>
          <w:rFonts w:hint="default" w:ascii="Times New Roman" w:hAnsi="Times New Roman" w:eastAsia="方正仿宋_GBK" w:cs="Times New Roman"/>
          <w:kern w:val="2"/>
          <w:sz w:val="32"/>
          <w:szCs w:val="32"/>
          <w:highlight w:val="none"/>
          <w:lang w:val="en-US" w:eastAsia="zh-CN" w:bidi="ar"/>
        </w:rPr>
        <w:t>，非居民用气价格约3.5</w:t>
      </w:r>
      <w:r>
        <w:rPr>
          <w:rFonts w:hint="eastAsia" w:ascii="宋体" w:hAnsi="宋体" w:eastAsia="宋体" w:cs="宋体"/>
          <w:kern w:val="2"/>
          <w:sz w:val="32"/>
          <w:szCs w:val="32"/>
          <w:highlight w:val="none"/>
          <w:lang w:val="en-US" w:eastAsia="zh-CN" w:bidi="ar"/>
        </w:rPr>
        <w:t>－</w:t>
      </w:r>
      <w:r>
        <w:rPr>
          <w:rFonts w:hint="default" w:ascii="Times New Roman" w:hAnsi="Times New Roman" w:eastAsia="方正仿宋_GBK" w:cs="Times New Roman"/>
          <w:kern w:val="2"/>
          <w:sz w:val="32"/>
          <w:szCs w:val="32"/>
          <w:highlight w:val="none"/>
          <w:lang w:val="en-US" w:eastAsia="zh-CN" w:bidi="ar"/>
        </w:rPr>
        <w:t>3.6</w:t>
      </w:r>
      <w:r>
        <w:rPr>
          <w:rFonts w:hint="default" w:ascii="Times New Roman" w:hAnsi="Times New Roman" w:eastAsia="方正仿宋_GBK" w:cs="Times New Roman"/>
          <w:color w:val="000000"/>
          <w:kern w:val="0"/>
          <w:sz w:val="32"/>
          <w:szCs w:val="32"/>
          <w:highlight w:val="none"/>
          <w:lang w:val="en-US" w:eastAsia="zh-CN" w:bidi="ar"/>
        </w:rPr>
        <w:t>元/立方米</w:t>
      </w:r>
      <w:r>
        <w:rPr>
          <w:rFonts w:hint="default" w:ascii="Times New Roman" w:hAnsi="Times New Roman" w:eastAsia="方正仿宋_GBK" w:cs="Times New Roman"/>
          <w:kern w:val="2"/>
          <w:sz w:val="32"/>
          <w:szCs w:val="32"/>
          <w:highlight w:val="none"/>
          <w:lang w:val="en-US" w:eastAsia="zh-CN" w:bidi="ar"/>
        </w:rPr>
        <w:t>），</w:t>
      </w:r>
      <w:r>
        <w:rPr>
          <w:rFonts w:hint="eastAsia" w:ascii="方正仿宋_GBK" w:hAnsi="方正仿宋_GBK" w:eastAsia="方正仿宋_GBK" w:cs="方正仿宋_GBK"/>
          <w:kern w:val="2"/>
          <w:sz w:val="32"/>
          <w:szCs w:val="32"/>
          <w:highlight w:val="none"/>
          <w:lang w:val="en-US" w:eastAsia="zh-CN" w:bidi="ar"/>
        </w:rPr>
        <w:t>对居民生活和企业生产影响较小。</w:t>
      </w:r>
    </w:p>
    <w:p w14:paraId="3EF3EF8B">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仿宋_GBK" w:hAnsi="方正仿宋_GBK" w:eastAsia="方正仿宋_GBK" w:cs="方正仿宋_GBK"/>
          <w:kern w:val="2"/>
          <w:sz w:val="32"/>
          <w:szCs w:val="32"/>
          <w:highlight w:val="none"/>
          <w:lang w:val="en-US" w:eastAsia="zh-CN" w:bidi="ar"/>
        </w:rPr>
        <w:t>（二）</w:t>
      </w:r>
      <w:r>
        <w:rPr>
          <w:rFonts w:hint="eastAsia" w:ascii="方正楷体_GBK" w:hAnsi="方正楷体_GBK" w:eastAsia="方正楷体_GBK" w:cs="方正楷体_GBK"/>
          <w:color w:val="000000"/>
          <w:kern w:val="0"/>
          <w:sz w:val="32"/>
          <w:szCs w:val="32"/>
          <w:highlight w:val="none"/>
          <w:lang w:val="en-US" w:eastAsia="zh-CN" w:bidi="ar"/>
        </w:rPr>
        <w:t>居民用气阶梯价格</w:t>
      </w:r>
    </w:p>
    <w:p w14:paraId="2157EE0A">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居民用气按照用气量分为三级阶梯，各阶梯气量价格按</w:t>
      </w:r>
      <w:r>
        <w:rPr>
          <w:rFonts w:hint="default" w:ascii="Times New Roman" w:hAnsi="Times New Roman" w:eastAsia="方正仿宋_GBK" w:cs="Times New Roman"/>
          <w:color w:val="000000"/>
          <w:kern w:val="0"/>
          <w:sz w:val="32"/>
          <w:szCs w:val="32"/>
          <w:highlight w:val="none"/>
          <w:lang w:val="en-US" w:eastAsia="zh-CN" w:bidi="ar"/>
        </w:rPr>
        <w:t>1:1.2:1.5</w:t>
      </w:r>
      <w:r>
        <w:rPr>
          <w:rFonts w:hint="eastAsia" w:ascii="方正仿宋_GBK" w:hAnsi="方正仿宋_GBK" w:eastAsia="方正仿宋_GBK" w:cs="方正仿宋_GBK"/>
          <w:color w:val="000000"/>
          <w:kern w:val="0"/>
          <w:sz w:val="32"/>
          <w:szCs w:val="32"/>
          <w:highlight w:val="none"/>
          <w:lang w:val="en-US" w:eastAsia="zh-CN" w:bidi="ar"/>
        </w:rPr>
        <w:t>的比价及年用气量实行阶梯价格。分档气量标准：每户每年用气量在</w:t>
      </w:r>
      <w:r>
        <w:rPr>
          <w:rFonts w:hint="default" w:ascii="Times New Roman" w:hAnsi="Times New Roman" w:eastAsia="方正仿宋_GBK" w:cs="Times New Roman"/>
          <w:color w:val="000000"/>
          <w:kern w:val="0"/>
          <w:sz w:val="32"/>
          <w:szCs w:val="32"/>
          <w:highlight w:val="none"/>
          <w:lang w:val="en-US" w:eastAsia="zh-CN" w:bidi="ar"/>
        </w:rPr>
        <w:t>360</w:t>
      </w:r>
      <w:r>
        <w:rPr>
          <w:rFonts w:hint="eastAsia" w:ascii="方正仿宋_GBK" w:hAnsi="方正仿宋_GBK" w:eastAsia="方正仿宋_GBK" w:cs="方正仿宋_GBK"/>
          <w:color w:val="000000"/>
          <w:kern w:val="0"/>
          <w:sz w:val="32"/>
          <w:szCs w:val="32"/>
          <w:highlight w:val="none"/>
          <w:lang w:val="en-US" w:eastAsia="zh-CN" w:bidi="ar"/>
        </w:rPr>
        <w:t>立方米（含）以内的部分，按第一阶梯价格（居民用气终端销售价格）执行；每户每年用气量在</w:t>
      </w:r>
      <w:r>
        <w:rPr>
          <w:rFonts w:hint="default" w:ascii="Times New Roman" w:hAnsi="Times New Roman" w:eastAsia="方正仿宋_GBK" w:cs="Times New Roman"/>
          <w:color w:val="000000"/>
          <w:kern w:val="0"/>
          <w:sz w:val="32"/>
          <w:szCs w:val="32"/>
          <w:highlight w:val="none"/>
          <w:lang w:val="en-US" w:eastAsia="zh-CN" w:bidi="ar"/>
        </w:rPr>
        <w:t>360</w:t>
      </w:r>
      <w:r>
        <w:rPr>
          <w:rFonts w:hint="eastAsia" w:ascii="宋体" w:hAnsi="宋体" w:eastAsia="宋体" w:cs="宋体"/>
          <w:color w:val="000000"/>
          <w:kern w:val="0"/>
          <w:sz w:val="32"/>
          <w:szCs w:val="32"/>
          <w:highlight w:val="none"/>
          <w:lang w:val="en-US" w:eastAsia="zh-CN" w:bidi="ar"/>
        </w:rPr>
        <w:t>－</w:t>
      </w:r>
      <w:r>
        <w:rPr>
          <w:rFonts w:hint="default" w:ascii="Times New Roman" w:hAnsi="Times New Roman" w:eastAsia="方正仿宋_GBK" w:cs="Times New Roman"/>
          <w:color w:val="000000"/>
          <w:kern w:val="0"/>
          <w:sz w:val="32"/>
          <w:szCs w:val="32"/>
          <w:highlight w:val="none"/>
          <w:lang w:val="en-US" w:eastAsia="zh-CN" w:bidi="ar"/>
        </w:rPr>
        <w:t>540</w:t>
      </w:r>
      <w:r>
        <w:rPr>
          <w:rFonts w:hint="eastAsia" w:ascii="方正仿宋_GBK" w:hAnsi="方正仿宋_GBK" w:eastAsia="方正仿宋_GBK" w:cs="方正仿宋_GBK"/>
          <w:color w:val="000000"/>
          <w:kern w:val="0"/>
          <w:sz w:val="32"/>
          <w:szCs w:val="32"/>
          <w:highlight w:val="none"/>
          <w:lang w:val="en-US" w:eastAsia="zh-CN" w:bidi="ar"/>
        </w:rPr>
        <w:t>立方米（含）的部分，按第一阶梯价格的</w:t>
      </w:r>
      <w:r>
        <w:rPr>
          <w:rFonts w:hint="default" w:ascii="Times New Roman" w:hAnsi="Times New Roman" w:eastAsia="方正仿宋_GBK" w:cs="Times New Roman"/>
          <w:color w:val="000000"/>
          <w:kern w:val="0"/>
          <w:sz w:val="32"/>
          <w:szCs w:val="32"/>
          <w:highlight w:val="none"/>
          <w:lang w:val="en-US" w:eastAsia="zh-CN" w:bidi="ar"/>
        </w:rPr>
        <w:t>1.2</w:t>
      </w:r>
      <w:r>
        <w:rPr>
          <w:rFonts w:hint="eastAsia" w:ascii="方正仿宋_GBK" w:hAnsi="方正仿宋_GBK" w:eastAsia="方正仿宋_GBK" w:cs="方正仿宋_GBK"/>
          <w:color w:val="000000"/>
          <w:kern w:val="0"/>
          <w:sz w:val="32"/>
          <w:szCs w:val="32"/>
          <w:highlight w:val="none"/>
          <w:lang w:val="en-US" w:eastAsia="zh-CN" w:bidi="ar"/>
        </w:rPr>
        <w:t>倍执行；每户每年用气量超过</w:t>
      </w:r>
      <w:r>
        <w:rPr>
          <w:rFonts w:hint="default" w:ascii="Times New Roman" w:hAnsi="Times New Roman" w:eastAsia="方正仿宋_GBK" w:cs="Times New Roman"/>
          <w:color w:val="000000"/>
          <w:kern w:val="0"/>
          <w:sz w:val="32"/>
          <w:szCs w:val="32"/>
          <w:highlight w:val="none"/>
          <w:lang w:val="en-US" w:eastAsia="zh-CN" w:bidi="ar"/>
        </w:rPr>
        <w:t>540</w:t>
      </w:r>
      <w:r>
        <w:rPr>
          <w:rFonts w:hint="eastAsia" w:ascii="方正仿宋_GBK" w:hAnsi="方正仿宋_GBK" w:eastAsia="方正仿宋_GBK" w:cs="方正仿宋_GBK"/>
          <w:color w:val="000000"/>
          <w:kern w:val="0"/>
          <w:sz w:val="32"/>
          <w:szCs w:val="32"/>
          <w:highlight w:val="none"/>
          <w:lang w:val="en-US" w:eastAsia="zh-CN" w:bidi="ar"/>
        </w:rPr>
        <w:t>立方米的部分，按第一阶梯价格的</w:t>
      </w:r>
      <w:r>
        <w:rPr>
          <w:rFonts w:hint="default" w:ascii="Times New Roman" w:hAnsi="Times New Roman" w:eastAsia="方正仿宋_GBK" w:cs="Times New Roman"/>
          <w:color w:val="000000"/>
          <w:kern w:val="0"/>
          <w:sz w:val="32"/>
          <w:szCs w:val="32"/>
          <w:highlight w:val="none"/>
          <w:lang w:val="en-US" w:eastAsia="zh-CN" w:bidi="ar"/>
        </w:rPr>
        <w:t>1.5</w:t>
      </w:r>
      <w:r>
        <w:rPr>
          <w:rFonts w:hint="eastAsia" w:ascii="方正仿宋_GBK" w:hAnsi="方正仿宋_GBK" w:eastAsia="方正仿宋_GBK" w:cs="方正仿宋_GBK"/>
          <w:color w:val="000000"/>
          <w:kern w:val="0"/>
          <w:sz w:val="32"/>
          <w:szCs w:val="32"/>
          <w:highlight w:val="none"/>
          <w:lang w:val="en-US" w:eastAsia="zh-CN" w:bidi="ar"/>
        </w:rPr>
        <w:t xml:space="preserve">倍执行。 </w:t>
      </w:r>
    </w:p>
    <w:p w14:paraId="60156154">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对家庭人口超过</w:t>
      </w:r>
      <w:r>
        <w:rPr>
          <w:rFonts w:hint="default" w:ascii="Times New Roman" w:hAnsi="Times New Roman" w:eastAsia="方正仿宋_GBK" w:cs="Times New Roman"/>
          <w:color w:val="000000"/>
          <w:kern w:val="0"/>
          <w:sz w:val="32"/>
          <w:szCs w:val="32"/>
          <w:highlight w:val="none"/>
          <w:lang w:val="en-US" w:eastAsia="zh-CN" w:bidi="ar"/>
        </w:rPr>
        <w:t>4</w:t>
      </w:r>
      <w:r>
        <w:rPr>
          <w:rFonts w:hint="eastAsia" w:ascii="方正仿宋_GBK" w:hAnsi="方正仿宋_GBK" w:eastAsia="方正仿宋_GBK" w:cs="方正仿宋_GBK"/>
          <w:color w:val="000000"/>
          <w:kern w:val="0"/>
          <w:sz w:val="32"/>
          <w:szCs w:val="32"/>
          <w:highlight w:val="none"/>
          <w:lang w:val="en-US" w:eastAsia="zh-CN" w:bidi="ar"/>
        </w:rPr>
        <w:t>人（不含）、无商业用途的居民用户，可持户口本、居住证或居住地社区证明到燃气企业申报，经燃气企业核实确认后，每增加</w:t>
      </w:r>
      <w:r>
        <w:rPr>
          <w:rFonts w:hint="eastAsia" w:ascii="Times New Roman" w:hAnsi="Times New Roman" w:eastAsia="方正仿宋_GBK" w:cs="Times New Roman"/>
          <w:color w:val="000000"/>
          <w:kern w:val="0"/>
          <w:sz w:val="32"/>
          <w:szCs w:val="32"/>
          <w:highlight w:val="none"/>
          <w:lang w:val="en-US" w:eastAsia="zh-CN" w:bidi="ar"/>
        </w:rPr>
        <w:t>1</w:t>
      </w:r>
      <w:r>
        <w:rPr>
          <w:rFonts w:hint="eastAsia" w:ascii="方正仿宋_GBK" w:hAnsi="方正仿宋_GBK" w:eastAsia="方正仿宋_GBK" w:cs="方正仿宋_GBK"/>
          <w:color w:val="000000"/>
          <w:kern w:val="0"/>
          <w:sz w:val="32"/>
          <w:szCs w:val="32"/>
          <w:highlight w:val="none"/>
          <w:lang w:val="en-US" w:eastAsia="zh-CN" w:bidi="ar"/>
        </w:rPr>
        <w:t>人增加第一阶梯用气量</w:t>
      </w:r>
      <w:r>
        <w:rPr>
          <w:rFonts w:hint="default" w:ascii="Times New Roman" w:hAnsi="Times New Roman" w:eastAsia="方正仿宋_GBK" w:cs="Times New Roman"/>
          <w:color w:val="000000"/>
          <w:kern w:val="0"/>
          <w:sz w:val="32"/>
          <w:szCs w:val="32"/>
          <w:highlight w:val="none"/>
          <w:lang w:val="en-US" w:eastAsia="zh-CN" w:bidi="ar"/>
        </w:rPr>
        <w:t>90</w:t>
      </w:r>
      <w:r>
        <w:rPr>
          <w:rFonts w:hint="eastAsia" w:ascii="方正仿宋_GBK" w:hAnsi="方正仿宋_GBK" w:eastAsia="方正仿宋_GBK" w:cs="方正仿宋_GBK"/>
          <w:color w:val="000000"/>
          <w:kern w:val="0"/>
          <w:sz w:val="32"/>
          <w:szCs w:val="32"/>
          <w:highlight w:val="none"/>
          <w:lang w:val="en-US" w:eastAsia="zh-CN" w:bidi="ar"/>
        </w:rPr>
        <w:t>立方米</w:t>
      </w:r>
      <w:r>
        <w:rPr>
          <w:rFonts w:hint="default" w:ascii="Times New Roman" w:hAnsi="Times New Roman" w:eastAsia="方正仿宋_GBK" w:cs="Times New Roman"/>
          <w:color w:val="000000"/>
          <w:kern w:val="0"/>
          <w:sz w:val="32"/>
          <w:szCs w:val="32"/>
          <w:highlight w:val="none"/>
          <w:lang w:val="en-US" w:eastAsia="zh-CN" w:bidi="ar"/>
        </w:rPr>
        <w:t>/</w:t>
      </w:r>
      <w:r>
        <w:rPr>
          <w:rFonts w:hint="eastAsia" w:ascii="方正仿宋_GBK" w:hAnsi="方正仿宋_GBK" w:eastAsia="方正仿宋_GBK" w:cs="方正仿宋_GBK"/>
          <w:color w:val="000000"/>
          <w:kern w:val="0"/>
          <w:sz w:val="32"/>
          <w:szCs w:val="32"/>
          <w:highlight w:val="none"/>
          <w:lang w:val="en-US" w:eastAsia="zh-CN" w:bidi="ar"/>
        </w:rPr>
        <w:t xml:space="preserve">年，超出部分执行正常价格标准。 </w:t>
      </w:r>
    </w:p>
    <w:p w14:paraId="7DA7CCEA">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（三）优惠措施</w:t>
      </w:r>
    </w:p>
    <w:p w14:paraId="5494A45F">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lang w:val="en-US" w:eastAsia="zh-CN" w:bidi="ar"/>
        </w:rPr>
        <w:t>1.</w:t>
      </w:r>
      <w:r>
        <w:rPr>
          <w:rFonts w:hint="eastAsia" w:ascii="方正仿宋_GBK" w:hAnsi="方正仿宋_GBK" w:eastAsia="方正仿宋_GBK" w:cs="方正仿宋_GBK"/>
          <w:color w:val="000000"/>
          <w:kern w:val="0"/>
          <w:sz w:val="32"/>
          <w:szCs w:val="32"/>
          <w:highlight w:val="none"/>
          <w:lang w:val="en-US" w:eastAsia="zh-CN" w:bidi="ar"/>
        </w:rPr>
        <w:t>对城镇供气区域范围内的特困供养人员免收管道燃气费用。</w:t>
      </w:r>
    </w:p>
    <w:p w14:paraId="42B36649">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outlineLvl w:val="1"/>
        <w:rPr>
          <w:rFonts w:hint="default"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lang w:val="en-US" w:eastAsia="zh-CN" w:bidi="ar"/>
        </w:rPr>
        <w:t>2.</w:t>
      </w:r>
      <w:r>
        <w:rPr>
          <w:rFonts w:hint="eastAsia" w:ascii="方正仿宋_GBK" w:hAnsi="方正仿宋_GBK" w:eastAsia="方正仿宋_GBK" w:cs="方正仿宋_GBK"/>
          <w:color w:val="000000"/>
          <w:kern w:val="0"/>
          <w:sz w:val="32"/>
          <w:szCs w:val="32"/>
          <w:highlight w:val="none"/>
          <w:lang w:val="en-US" w:eastAsia="zh-CN" w:bidi="ar"/>
        </w:rPr>
        <w:t>对城镇供气区域内的学校、养老、孤儿、残疾人、婴幼儿托养（照护）等（不含生产经营）社会福利机构（场所）用气，气价水平按居民第一档、第二档气价平均水平执行。</w:t>
      </w:r>
    </w:p>
    <w:p w14:paraId="21119558">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lang w:val="en-US" w:eastAsia="zh-CN" w:bidi="ar"/>
        </w:rPr>
        <w:t>3.</w:t>
      </w:r>
      <w:r>
        <w:rPr>
          <w:rFonts w:hint="eastAsia" w:ascii="方正仿宋_GBK" w:hAnsi="方正仿宋_GBK" w:eastAsia="方正仿宋_GBK" w:cs="方正仿宋_GBK"/>
          <w:color w:val="000000"/>
          <w:kern w:val="0"/>
          <w:sz w:val="32"/>
          <w:szCs w:val="32"/>
          <w:highlight w:val="none"/>
          <w:lang w:val="en-US" w:eastAsia="zh-CN" w:bidi="ar"/>
        </w:rPr>
        <w:t>对领取低保、持有残疾人证及经相关部门认定为低收入人口的居民用户，持相关证件或证明，每户每年可向供气企业申请</w:t>
      </w:r>
      <w:r>
        <w:rPr>
          <w:rFonts w:hint="default" w:ascii="Times New Roman" w:hAnsi="Times New Roman" w:eastAsia="方正仿宋_GBK" w:cs="Times New Roman"/>
          <w:color w:val="000000"/>
          <w:kern w:val="0"/>
          <w:sz w:val="32"/>
          <w:szCs w:val="32"/>
          <w:highlight w:val="none"/>
          <w:lang w:val="en-US" w:eastAsia="zh-CN" w:bidi="ar"/>
        </w:rPr>
        <w:t>120</w:t>
      </w:r>
      <w:r>
        <w:rPr>
          <w:rFonts w:hint="eastAsia" w:ascii="方正仿宋_GBK" w:hAnsi="方正仿宋_GBK" w:eastAsia="方正仿宋_GBK" w:cs="方正仿宋_GBK"/>
          <w:color w:val="000000"/>
          <w:kern w:val="0"/>
          <w:sz w:val="32"/>
          <w:szCs w:val="32"/>
          <w:highlight w:val="none"/>
          <w:lang w:val="en-US" w:eastAsia="zh-CN" w:bidi="ar"/>
        </w:rPr>
        <w:t>立方米（含）气量，气价为第一阶梯价格的</w:t>
      </w:r>
      <w:r>
        <w:rPr>
          <w:rFonts w:hint="default" w:ascii="Times New Roman" w:hAnsi="Times New Roman" w:eastAsia="方正仿宋_GBK" w:cs="Times New Roman"/>
          <w:color w:val="000000"/>
          <w:kern w:val="0"/>
          <w:sz w:val="32"/>
          <w:szCs w:val="32"/>
          <w:highlight w:val="none"/>
          <w:lang w:val="en-US" w:eastAsia="zh-CN" w:bidi="ar"/>
        </w:rPr>
        <w:t>60%</w:t>
      </w:r>
      <w:r>
        <w:rPr>
          <w:rFonts w:hint="eastAsia" w:ascii="方正仿宋_GBK" w:hAnsi="方正仿宋_GBK" w:eastAsia="方正仿宋_GBK" w:cs="方正仿宋_GBK"/>
          <w:color w:val="000000"/>
          <w:kern w:val="0"/>
          <w:sz w:val="32"/>
          <w:szCs w:val="32"/>
          <w:highlight w:val="none"/>
          <w:lang w:val="en-US" w:eastAsia="zh-CN" w:bidi="ar"/>
        </w:rPr>
        <w:t>，超出部分按正常价格执行。结余优惠气量跨年度不结转使用。</w:t>
      </w:r>
    </w:p>
    <w:p w14:paraId="2E0F2E2F">
      <w:pPr>
        <w:pStyle w:val="19"/>
        <w:keepNext w:val="0"/>
        <w:keepLines w:val="0"/>
        <w:pageBreakBefore w:val="0"/>
        <w:widowControl w:val="0"/>
        <w:suppressLineNumbers w:val="0"/>
        <w:kinsoku/>
        <w:wordWrap/>
        <w:overflowPunct/>
        <w:topLinePunct w:val="0"/>
        <w:autoSpaceDE w:val="0"/>
        <w:autoSpaceDN/>
        <w:bidi w:val="0"/>
        <w:snapToGrid w:val="0"/>
        <w:spacing w:beforeAutospacing="0" w:line="560" w:lineRule="exact"/>
        <w:ind w:left="0" w:right="0" w:firstLine="640" w:firstLineChars="200"/>
        <w:jc w:val="both"/>
        <w:textAlignment w:val="auto"/>
        <w:rPr>
          <w:rFonts w:hint="eastAsia" w:ascii="Times New Roman" w:hAnsi="Times New Roman" w:eastAsia="方正仿宋_GBK" w:cs="Times New Roman"/>
          <w:color w:val="000000"/>
          <w:kern w:val="0"/>
          <w:sz w:val="32"/>
          <w:szCs w:val="32"/>
          <w:highlight w:val="none"/>
        </w:rPr>
      </w:pPr>
      <w:r>
        <w:rPr>
          <w:rFonts w:hint="default" w:ascii="Times New Roman" w:hAnsi="Times New Roman" w:eastAsia="方正仿宋_GBK" w:cs="Times New Roman"/>
          <w:color w:val="000000"/>
          <w:kern w:val="0"/>
          <w:sz w:val="32"/>
          <w:szCs w:val="32"/>
          <w:highlight w:val="none"/>
        </w:rPr>
        <w:t>4.</w:t>
      </w:r>
      <w:r>
        <w:rPr>
          <w:rFonts w:hint="eastAsia" w:ascii="方正仿宋_GBK" w:hAnsi="方正仿宋_GBK" w:eastAsia="方正仿宋_GBK" w:cs="方正仿宋_GBK"/>
          <w:color w:val="000000"/>
          <w:kern w:val="0"/>
          <w:sz w:val="32"/>
          <w:szCs w:val="32"/>
          <w:highlight w:val="none"/>
        </w:rPr>
        <w:t>对使用天然气采暖的居民用户，可向燃气企业申报，每户每年</w:t>
      </w:r>
      <w:r>
        <w:rPr>
          <w:rFonts w:hint="default" w:ascii="Times New Roman" w:hAnsi="Times New Roman" w:eastAsia="方正仿宋_GBK" w:cs="Times New Roman"/>
          <w:color w:val="000000"/>
          <w:kern w:val="0"/>
          <w:sz w:val="32"/>
          <w:szCs w:val="32"/>
          <w:highlight w:val="none"/>
        </w:rPr>
        <w:t>2000</w:t>
      </w:r>
      <w:r>
        <w:rPr>
          <w:rFonts w:hint="eastAsia" w:ascii="方正仿宋_GBK" w:hAnsi="方正仿宋_GBK" w:eastAsia="方正仿宋_GBK" w:cs="方正仿宋_GBK"/>
          <w:color w:val="000000"/>
          <w:kern w:val="0"/>
          <w:sz w:val="32"/>
          <w:szCs w:val="32"/>
          <w:highlight w:val="none"/>
        </w:rPr>
        <w:t>立方米以内用气价格按照居民生活用气联动后第一阶梯气价执行。</w:t>
      </w:r>
    </w:p>
    <w:p w14:paraId="75D740B6">
      <w:pPr>
        <w:pStyle w:val="19"/>
        <w:keepNext w:val="0"/>
        <w:keepLines w:val="0"/>
        <w:pageBreakBefore w:val="0"/>
        <w:widowControl w:val="0"/>
        <w:suppressLineNumbers w:val="0"/>
        <w:kinsoku/>
        <w:wordWrap/>
        <w:overflowPunct/>
        <w:topLinePunct w:val="0"/>
        <w:autoSpaceDE w:val="0"/>
        <w:autoSpaceDN/>
        <w:bidi w:val="0"/>
        <w:snapToGrid w:val="0"/>
        <w:spacing w:before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rPr>
        <w:t>（四）转供代输价格</w:t>
      </w:r>
    </w:p>
    <w:p w14:paraId="161F34CE">
      <w:pPr>
        <w:pStyle w:val="19"/>
        <w:keepNext w:val="0"/>
        <w:keepLines w:val="0"/>
        <w:pageBreakBefore w:val="0"/>
        <w:widowControl w:val="0"/>
        <w:suppressLineNumbers w:val="0"/>
        <w:kinsoku/>
        <w:wordWrap/>
        <w:overflowPunct/>
        <w:topLinePunct w:val="0"/>
        <w:bidi w:val="0"/>
        <w:adjustRightInd w:val="0"/>
        <w:snapToGrid w:val="0"/>
        <w:spacing w:beforeAutospacing="0" w:line="560" w:lineRule="exact"/>
        <w:ind w:left="0" w:right="0" w:firstLine="640" w:firstLineChars="200"/>
        <w:jc w:val="both"/>
        <w:textAlignment w:val="auto"/>
        <w:rPr>
          <w:rFonts w:hint="eastAsia" w:ascii="仿宋" w:hAnsi="仿宋" w:eastAsia="仿宋" w:cs="仿宋"/>
          <w:kern w:val="2"/>
          <w:sz w:val="32"/>
          <w:szCs w:val="32"/>
          <w:highlight w:val="none"/>
        </w:rPr>
      </w:pPr>
      <w:r>
        <w:rPr>
          <w:rFonts w:hint="eastAsia" w:ascii="方正仿宋_GBK" w:hAnsi="方正仿宋_GBK" w:eastAsia="方正仿宋_GBK" w:cs="方正仿宋_GBK"/>
          <w:color w:val="000000"/>
          <w:kern w:val="0"/>
          <w:sz w:val="32"/>
          <w:szCs w:val="32"/>
          <w:highlight w:val="none"/>
        </w:rPr>
        <w:t>燃气企业之间的转供价格、通过配气管网输送</w:t>
      </w:r>
      <w:r>
        <w:rPr>
          <w:rFonts w:hint="eastAsia" w:ascii="方正仿宋_GBK" w:hAnsi="方正仿宋_GBK" w:eastAsia="方正仿宋_GBK" w:cs="方正仿宋_GBK"/>
          <w:color w:val="000000"/>
          <w:kern w:val="0"/>
          <w:sz w:val="32"/>
          <w:szCs w:val="32"/>
          <w:highlight w:val="none"/>
          <w:lang w:val="en-US" w:eastAsia="zh-CN"/>
        </w:rPr>
        <w:t>天然</w:t>
      </w:r>
      <w:r>
        <w:rPr>
          <w:rFonts w:hint="eastAsia" w:ascii="方正仿宋_GBK" w:hAnsi="方正仿宋_GBK" w:eastAsia="方正仿宋_GBK" w:cs="方正仿宋_GBK"/>
          <w:color w:val="000000"/>
          <w:kern w:val="0"/>
          <w:sz w:val="32"/>
          <w:szCs w:val="32"/>
          <w:highlight w:val="none"/>
        </w:rPr>
        <w:t>气的代输价格，由双方协商确定。转供后的终端价格不得超过企业所在地当期联动后的终端价格，代输单价不得超过核定的配气单价。</w:t>
      </w:r>
    </w:p>
    <w:p w14:paraId="644B0603">
      <w:pPr>
        <w:pStyle w:val="19"/>
        <w:keepNext w:val="0"/>
        <w:keepLines w:val="0"/>
        <w:pageBreakBefore w:val="0"/>
        <w:widowControl w:val="0"/>
        <w:suppressLineNumbers w:val="0"/>
        <w:kinsoku/>
        <w:wordWrap/>
        <w:overflowPunct/>
        <w:topLinePunct w:val="0"/>
        <w:bidi w:val="0"/>
        <w:adjustRightInd w:val="0"/>
        <w:snapToGrid w:val="0"/>
        <w:spacing w:beforeAutospacing="0" w:line="560" w:lineRule="exact"/>
        <w:ind w:left="0" w:right="0" w:firstLine="640" w:firstLineChars="200"/>
        <w:jc w:val="both"/>
        <w:textAlignment w:val="auto"/>
        <w:rPr>
          <w:rFonts w:hint="eastAsia" w:ascii="方正黑体_GBK" w:hAnsi="方正黑体_GBK" w:eastAsia="方正黑体_GBK" w:cs="方正黑体_GBK"/>
          <w:color w:val="000000"/>
          <w:spacing w:val="0"/>
          <w:w w:val="100"/>
          <w:kern w:val="2"/>
          <w:sz w:val="32"/>
          <w:szCs w:val="32"/>
          <w:highlight w:val="none"/>
        </w:rPr>
      </w:pPr>
      <w:r>
        <w:rPr>
          <w:rFonts w:hint="eastAsia" w:ascii="方正黑体_GBK" w:hAnsi="方正黑体_GBK" w:eastAsia="方正黑体_GBK" w:cs="方正黑体_GBK"/>
          <w:color w:val="000000"/>
          <w:spacing w:val="0"/>
          <w:w w:val="100"/>
          <w:kern w:val="2"/>
          <w:sz w:val="32"/>
          <w:szCs w:val="32"/>
          <w:highlight w:val="none"/>
        </w:rPr>
        <w:t>六、工作要求和措施</w:t>
      </w:r>
    </w:p>
    <w:p w14:paraId="3A248C30">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（一）加强协同配合</w:t>
      </w:r>
    </w:p>
    <w:p w14:paraId="4E0ADE72">
      <w:pPr>
        <w:pStyle w:val="10"/>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各相关职能部门要密切协同配合。各有关燃气企业要加强与主管部门的沟通汇报，高度重视，精心组织筹划，保障管道燃气配气价格校核及天然气上下游价格联动机制方案的顺畅运行。</w:t>
      </w:r>
    </w:p>
    <w:p w14:paraId="01784483">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（二）严控采购成本</w:t>
      </w:r>
    </w:p>
    <w:p w14:paraId="2D1662FD">
      <w:pPr>
        <w:pStyle w:val="10"/>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城镇燃气企业密切关注天然气市场动向，科学预测经营区域内用气需求，在保障天然气供应的同时，持续优化气源采购渠道和结构，合理控制气源采购成本，实现降本增效。</w:t>
      </w:r>
    </w:p>
    <w:p w14:paraId="27B480B0">
      <w:pPr>
        <w:pStyle w:val="19"/>
        <w:keepNext w:val="0"/>
        <w:keepLines w:val="0"/>
        <w:pageBreakBefore w:val="0"/>
        <w:widowControl w:val="0"/>
        <w:suppressLineNumbers w:val="0"/>
        <w:kinsoku/>
        <w:wordWrap/>
        <w:overflowPunct/>
        <w:topLinePunct w:val="0"/>
        <w:bidi w:val="0"/>
        <w:adjustRightInd w:val="0"/>
        <w:snapToGrid w:val="0"/>
        <w:spacing w:before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rPr>
        <w:t>（三）强化价格监管</w:t>
      </w:r>
    </w:p>
    <w:p w14:paraId="6720FD76">
      <w:pPr>
        <w:pStyle w:val="19"/>
        <w:keepNext w:val="0"/>
        <w:keepLines w:val="0"/>
        <w:pageBreakBefore w:val="0"/>
        <w:widowControl w:val="0"/>
        <w:suppressLineNumbers w:val="0"/>
        <w:kinsoku/>
        <w:wordWrap/>
        <w:overflowPunct/>
        <w:topLinePunct w:val="0"/>
        <w:bidi w:val="0"/>
        <w:adjustRightInd w:val="0"/>
        <w:snapToGrid w:val="0"/>
        <w:spacing w:beforeAutospacing="0" w:line="560" w:lineRule="exact"/>
        <w:ind w:left="0" w:right="0" w:firstLine="640" w:firstLineChars="200"/>
        <w:jc w:val="both"/>
        <w:textAlignment w:val="auto"/>
        <w:rPr>
          <w:rFonts w:hint="default" w:ascii="Times New Roman" w:hAnsi="Times New Roman" w:eastAsia="方正仿宋_GBK" w:cs="Times New Roman"/>
          <w:color w:val="000000"/>
          <w:kern w:val="0"/>
          <w:sz w:val="32"/>
          <w:szCs w:val="32"/>
          <w:highlight w:val="none"/>
        </w:rPr>
      </w:pPr>
      <w:r>
        <w:rPr>
          <w:rFonts w:hint="eastAsia" w:ascii="方正仿宋_GBK" w:hAnsi="方正仿宋_GBK" w:eastAsia="方正仿宋_GBK" w:cs="方正仿宋_GBK"/>
          <w:color w:val="000000"/>
          <w:kern w:val="0"/>
          <w:sz w:val="32"/>
          <w:szCs w:val="32"/>
          <w:highlight w:val="none"/>
        </w:rPr>
        <w:t>各职能部门要加强对燃气企业管输价格和配气价格执行情况的监管，规范供气环节收费，防止不合理加价，维护天然气市场秩序。燃气企业自觉接受市场监管部门、行业主管部门、价格主管部门的监管，主动接受全社会的监督。</w:t>
      </w:r>
    </w:p>
    <w:p w14:paraId="62C2A116">
      <w:pPr>
        <w:keepNext w:val="0"/>
        <w:keepLines w:val="0"/>
        <w:pageBreakBefore w:val="0"/>
        <w:widowControl w:val="0"/>
        <w:suppressLineNumbers w:val="0"/>
        <w:kinsoku/>
        <w:wordWrap/>
        <w:overflowPunct/>
        <w:topLinePunct w:val="0"/>
        <w:autoSpaceDE w:val="0"/>
        <w:autoSpaceDN/>
        <w:bidi w:val="0"/>
        <w:snapToGrid w:val="0"/>
        <w:spacing w:before="0" w:beforeAutospacing="0" w:after="0" w:afterAutospacing="0" w:line="560" w:lineRule="exact"/>
        <w:ind w:left="0" w:right="0" w:firstLine="640" w:firstLineChars="200"/>
        <w:jc w:val="both"/>
        <w:textAlignment w:val="auto"/>
        <w:rPr>
          <w:rFonts w:hint="eastAsia" w:ascii="方正楷体_GBK" w:hAnsi="方正楷体_GBK" w:eastAsia="方正楷体_GBK" w:cs="方正楷体_GBK"/>
          <w:color w:val="000000"/>
          <w:kern w:val="0"/>
          <w:sz w:val="32"/>
          <w:szCs w:val="32"/>
          <w:highlight w:val="none"/>
        </w:rPr>
      </w:pPr>
      <w:r>
        <w:rPr>
          <w:rFonts w:hint="eastAsia" w:ascii="方正楷体_GBK" w:hAnsi="方正楷体_GBK" w:eastAsia="方正楷体_GBK" w:cs="方正楷体_GBK"/>
          <w:color w:val="000000"/>
          <w:kern w:val="0"/>
          <w:sz w:val="32"/>
          <w:szCs w:val="32"/>
          <w:highlight w:val="none"/>
          <w:lang w:val="en-US" w:eastAsia="zh-CN" w:bidi="ar"/>
        </w:rPr>
        <w:t>（四）做好政策宣传</w:t>
      </w:r>
    </w:p>
    <w:p w14:paraId="119A7051">
      <w:pPr>
        <w:pStyle w:val="10"/>
        <w:keepNext w:val="0"/>
        <w:keepLines w:val="0"/>
        <w:pageBreakBefore w:val="0"/>
        <w:widowControl w:val="0"/>
        <w:suppressLineNumbers w:val="0"/>
        <w:kinsoku/>
        <w:wordWrap/>
        <w:overflowPunct/>
        <w:topLinePunct w:val="0"/>
        <w:autoSpaceDE w:val="0"/>
        <w:autoSpaceDN w:val="0"/>
        <w:bidi w:val="0"/>
        <w:snapToGrid w:val="0"/>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kern w:val="2"/>
          <w:sz w:val="32"/>
          <w:szCs w:val="32"/>
          <w:highlight w:val="none"/>
        </w:rPr>
      </w:pPr>
      <w:r>
        <w:rPr>
          <w:rFonts w:hint="eastAsia" w:ascii="方正仿宋_GBK" w:hAnsi="方正仿宋_GBK" w:eastAsia="方正仿宋_GBK" w:cs="方正仿宋_GBK"/>
          <w:color w:val="000000"/>
          <w:kern w:val="0"/>
          <w:sz w:val="32"/>
          <w:szCs w:val="32"/>
          <w:highlight w:val="none"/>
          <w:lang w:val="en-US" w:eastAsia="zh-CN" w:bidi="ar"/>
        </w:rPr>
        <w:t>燃气企业要严格遵守《中华人民共和国价格法》《中华人民共和国反垄断法》等相关法律法规，在营业场所醒目位置和门户网站、企业</w:t>
      </w:r>
      <w:r>
        <w:rPr>
          <w:rFonts w:hint="default" w:ascii="Times New Roman" w:hAnsi="Times New Roman" w:eastAsia="方正仿宋_GBK" w:cs="Times New Roman"/>
          <w:color w:val="000000"/>
          <w:kern w:val="0"/>
          <w:sz w:val="32"/>
          <w:szCs w:val="32"/>
          <w:highlight w:val="none"/>
          <w:lang w:val="en-US" w:eastAsia="zh-CN" w:bidi="ar"/>
        </w:rPr>
        <w:t>APP</w:t>
      </w:r>
      <w:r>
        <w:rPr>
          <w:rFonts w:hint="eastAsia" w:ascii="方正仿宋_GBK" w:hAnsi="方正仿宋_GBK" w:eastAsia="方正仿宋_GBK" w:cs="方正仿宋_GBK"/>
          <w:color w:val="000000"/>
          <w:kern w:val="0"/>
          <w:sz w:val="32"/>
          <w:szCs w:val="32"/>
          <w:highlight w:val="none"/>
          <w:lang w:val="en-US" w:eastAsia="zh-CN" w:bidi="ar"/>
        </w:rPr>
        <w:t>、微信公众号（小程序）等平台公示价格政策、服务咨询电话和投诉举报电话，落实明码标价制度，做好政策宣传引导，及时回应社会关切，争取社会各界理解和支持，防范化解舆情风险。</w:t>
      </w:r>
    </w:p>
    <w:p w14:paraId="4C3A5B4B">
      <w:pPr>
        <w:pStyle w:val="19"/>
        <w:keepNext w:val="0"/>
        <w:keepLines w:val="0"/>
        <w:pageBreakBefore w:val="0"/>
        <w:widowControl w:val="0"/>
        <w:suppressLineNumbers w:val="0"/>
        <w:kinsoku/>
        <w:wordWrap/>
        <w:overflowPunct/>
        <w:topLinePunct w:val="0"/>
        <w:bidi w:val="0"/>
        <w:snapToGrid w:val="0"/>
        <w:spacing w:beforeAutospacing="0" w:line="560" w:lineRule="exact"/>
        <w:ind w:left="0" w:right="0" w:rightChars="0" w:firstLine="640" w:firstLineChars="200"/>
        <w:jc w:val="both"/>
        <w:textAlignment w:val="auto"/>
        <w:rPr>
          <w:rFonts w:hint="eastAsia" w:ascii="方正黑体_GBK" w:hAnsi="方正黑体_GBK" w:eastAsia="方正黑体_GBK" w:cs="方正黑体_GBK"/>
          <w:color w:val="000000"/>
          <w:spacing w:val="0"/>
          <w:w w:val="100"/>
          <w:kern w:val="2"/>
          <w:sz w:val="32"/>
          <w:szCs w:val="32"/>
          <w:highlight w:val="none"/>
        </w:rPr>
      </w:pPr>
      <w:r>
        <w:rPr>
          <w:rFonts w:hint="eastAsia" w:ascii="方正黑体_GBK" w:hAnsi="方正黑体_GBK" w:eastAsia="方正黑体_GBK" w:cs="方正黑体_GBK"/>
          <w:color w:val="000000"/>
          <w:spacing w:val="0"/>
          <w:w w:val="100"/>
          <w:kern w:val="2"/>
          <w:sz w:val="32"/>
          <w:szCs w:val="32"/>
          <w:highlight w:val="none"/>
        </w:rPr>
        <w:t>七、执行时间</w:t>
      </w:r>
    </w:p>
    <w:p w14:paraId="67CB43C7">
      <w:pPr>
        <w:pStyle w:val="19"/>
        <w:keepNext w:val="0"/>
        <w:keepLines w:val="0"/>
        <w:pageBreakBefore w:val="0"/>
        <w:widowControl w:val="0"/>
        <w:suppressLineNumbers w:val="0"/>
        <w:kinsoku/>
        <w:wordWrap/>
        <w:overflowPunct/>
        <w:topLinePunct w:val="0"/>
        <w:bidi w:val="0"/>
        <w:snapToGrid w:val="0"/>
        <w:spacing w:beforeAutospacing="0" w:line="560" w:lineRule="exact"/>
        <w:ind w:left="0" w:right="0" w:rightChars="0" w:firstLine="640" w:firstLineChars="200"/>
        <w:jc w:val="left"/>
        <w:textAlignment w:val="auto"/>
        <w:rPr>
          <w:rFonts w:hint="default" w:ascii="方正仿宋_GBK" w:hAnsi="方正仿宋_GBK" w:eastAsia="方正仿宋_GBK" w:cs="方正仿宋_GBK"/>
          <w:color w:val="000000"/>
          <w:kern w:val="0"/>
          <w:sz w:val="32"/>
          <w:szCs w:val="32"/>
          <w:highlight w:val="none"/>
          <w:lang w:val="en-US"/>
        </w:rPr>
      </w:pPr>
      <w:r>
        <w:rPr>
          <w:rFonts w:hint="eastAsia" w:ascii="方正仿宋_GBK" w:hAnsi="方正仿宋_GBK" w:eastAsia="方正仿宋_GBK" w:cs="方正仿宋_GBK"/>
          <w:color w:val="000000"/>
          <w:kern w:val="2"/>
          <w:sz w:val="32"/>
          <w:szCs w:val="32"/>
          <w:highlight w:val="none"/>
        </w:rPr>
        <w:t>管道燃气</w:t>
      </w:r>
      <w:r>
        <w:rPr>
          <w:rFonts w:hint="eastAsia" w:ascii="方正仿宋_GBK" w:hAnsi="方正仿宋_GBK" w:eastAsia="方正仿宋_GBK" w:cs="方正仿宋_GBK"/>
          <w:color w:val="000000"/>
          <w:spacing w:val="11"/>
          <w:kern w:val="2"/>
          <w:sz w:val="32"/>
          <w:szCs w:val="32"/>
          <w:highlight w:val="none"/>
        </w:rPr>
        <w:t>配气价格校核</w:t>
      </w:r>
      <w:r>
        <w:rPr>
          <w:rFonts w:hint="eastAsia" w:ascii="仿宋" w:hAnsi="仿宋" w:eastAsia="仿宋" w:cs="仿宋"/>
          <w:color w:val="000000"/>
          <w:spacing w:val="11"/>
          <w:kern w:val="2"/>
          <w:sz w:val="32"/>
          <w:szCs w:val="32"/>
          <w:highlight w:val="none"/>
        </w:rPr>
        <w:t>及天然气</w:t>
      </w:r>
      <w:r>
        <w:rPr>
          <w:rFonts w:hint="eastAsia" w:ascii="方正仿宋_GBK" w:hAnsi="方正仿宋_GBK" w:eastAsia="方正仿宋_GBK" w:cs="方正仿宋_GBK"/>
          <w:color w:val="000000"/>
          <w:spacing w:val="11"/>
          <w:kern w:val="2"/>
          <w:sz w:val="32"/>
          <w:szCs w:val="32"/>
          <w:highlight w:val="none"/>
        </w:rPr>
        <w:t>上下游价格联动机制方案经市人民政府常务会议研究同意后</w:t>
      </w:r>
      <w:r>
        <w:rPr>
          <w:rFonts w:hint="eastAsia" w:ascii="方正仿宋_GBK" w:hAnsi="方正仿宋_GBK" w:eastAsia="方正仿宋_GBK" w:cs="方正仿宋_GBK"/>
          <w:color w:val="000000"/>
          <w:spacing w:val="11"/>
          <w:kern w:val="2"/>
          <w:sz w:val="32"/>
          <w:szCs w:val="32"/>
          <w:highlight w:val="none"/>
          <w:lang w:val="en-US" w:eastAsia="zh-CN"/>
        </w:rPr>
        <w:t>组织实施</w:t>
      </w:r>
      <w:r>
        <w:rPr>
          <w:rFonts w:hint="eastAsia" w:ascii="方正仿宋_GBK" w:hAnsi="方正仿宋_GBK" w:eastAsia="方正仿宋_GBK" w:cs="方正仿宋_GBK"/>
          <w:color w:val="000000"/>
          <w:spacing w:val="11"/>
          <w:kern w:val="2"/>
          <w:sz w:val="32"/>
          <w:szCs w:val="32"/>
          <w:highlight w:val="none"/>
        </w:rPr>
        <w:t>，</w:t>
      </w:r>
      <w:r>
        <w:rPr>
          <w:rFonts w:hint="eastAsia" w:ascii="仿宋" w:hAnsi="仿宋" w:eastAsia="仿宋" w:cs="仿宋"/>
          <w:color w:val="000000"/>
          <w:spacing w:val="11"/>
          <w:kern w:val="2"/>
          <w:sz w:val="32"/>
          <w:szCs w:val="32"/>
          <w:highlight w:val="none"/>
        </w:rPr>
        <w:t>具体</w:t>
      </w:r>
      <w:r>
        <w:rPr>
          <w:rFonts w:hint="default" w:ascii="Times New Roman" w:hAnsi="Times New Roman" w:eastAsia="方正仿宋简体" w:cs="Times New Roman"/>
          <w:spacing w:val="11"/>
          <w:kern w:val="2"/>
          <w:sz w:val="32"/>
          <w:szCs w:val="32"/>
          <w:lang w:val="en-US" w:eastAsia="zh-CN" w:bidi="ar-SA"/>
        </w:rPr>
        <w:t>执行</w:t>
      </w:r>
      <w:r>
        <w:rPr>
          <w:rFonts w:hint="eastAsia" w:cs="仿宋"/>
          <w:color w:val="000000"/>
          <w:spacing w:val="11"/>
          <w:kern w:val="2"/>
          <w:sz w:val="32"/>
          <w:szCs w:val="32"/>
          <w:highlight w:val="none"/>
          <w:lang w:val="en-US" w:eastAsia="zh-CN"/>
        </w:rPr>
        <w:t>时间</w:t>
      </w:r>
      <w:r>
        <w:rPr>
          <w:rFonts w:hint="eastAsia" w:cs="仿宋"/>
          <w:color w:val="000000"/>
          <w:kern w:val="0"/>
          <w:sz w:val="32"/>
          <w:szCs w:val="32"/>
          <w:highlight w:val="none"/>
          <w:lang w:val="en-US" w:eastAsia="zh-CN"/>
        </w:rPr>
        <w:t>以</w:t>
      </w:r>
      <w:r>
        <w:rPr>
          <w:rFonts w:hint="eastAsia" w:ascii="仿宋" w:hAnsi="仿宋" w:eastAsia="仿宋" w:cs="仿宋"/>
          <w:color w:val="000000"/>
          <w:kern w:val="0"/>
          <w:sz w:val="32"/>
          <w:szCs w:val="32"/>
          <w:highlight w:val="none"/>
        </w:rPr>
        <w:t>市发展改革委</w:t>
      </w:r>
      <w:r>
        <w:rPr>
          <w:rFonts w:hint="default" w:ascii="Times New Roman" w:hAnsi="Times New Roman" w:eastAsia="方正仿宋简体" w:cs="Times New Roman"/>
          <w:spacing w:val="11"/>
          <w:kern w:val="2"/>
          <w:sz w:val="32"/>
          <w:szCs w:val="32"/>
          <w:lang w:val="en-US" w:eastAsia="zh-CN" w:bidi="ar-SA"/>
        </w:rPr>
        <w:t>发文确定的时间</w:t>
      </w:r>
      <w:r>
        <w:rPr>
          <w:rFonts w:hint="eastAsia" w:ascii="Times New Roman" w:hAnsi="Times New Roman" w:eastAsia="方正仿宋简体" w:cs="Times New Roman"/>
          <w:spacing w:val="11"/>
          <w:kern w:val="2"/>
          <w:sz w:val="32"/>
          <w:szCs w:val="32"/>
          <w:lang w:val="en-US" w:eastAsia="zh-CN" w:bidi="ar-SA"/>
        </w:rPr>
        <w:t>为准。</w:t>
      </w:r>
    </w:p>
    <w:p w14:paraId="390E2039">
      <w:pPr>
        <w:rPr>
          <w:rFonts w:hint="default"/>
          <w:highlight w:val="none"/>
          <w:lang w:val="en-US" w:eastAsia="zh-CN"/>
        </w:rPr>
      </w:pPr>
      <w:bookmarkStart w:id="0" w:name="_GoBack"/>
      <w:bookmarkEnd w:id="0"/>
    </w:p>
    <w:sectPr>
      <w:footerReference r:id="rId3" w:type="default"/>
      <w:pgSz w:w="11906" w:h="16838"/>
      <w:pgMar w:top="1701" w:right="1417"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2000000000000000000"/>
    <w:charset w:val="86"/>
    <w:family w:val="script"/>
    <w:pitch w:val="default"/>
    <w:sig w:usb0="A00002BF" w:usb1="38CF7CFA" w:usb2="00082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353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-198120</wp:posOffset>
              </wp:positionV>
              <wp:extent cx="76835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683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8E08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5.6pt;height:144pt;width:60.5pt;mso-position-horizontal:outside;mso-position-horizontal-relative:margin;z-index:251659264;mso-width-relative:page;mso-height-relative:page;" filled="f" stroked="f" coordsize="21600,21600" o:gfxdata="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M4MzvPWAAAACAEAAA8AAAAAAAAAAQAgAAAAIgAAAGRycy9kb3ducmV2Lnht&#10;bFBLAQIUABQAAAAIAIdO4kAt7SsgNAIAAGIEAAAOAAAAAAAAAAEAIAAAACUBAABkcnMvZTJvRG9j&#10;LnhtbFBLBQYAAAAABgAGAFkBAADLBQAAAAA=&#10;">
              <v:fill on="f" focussize="0,0"/>
              <v:stroke on="f" weight="0.5pt"/>
              <v:imagedata o:title=""/>
              <o:lock v:ext="edit" aspectratio="f"/>
              <v:textbox inset="0mm,0mm,0mm,0mm" style="mso-fit-shape-to-text:t;">
                <w:txbxContent>
                  <w:p w14:paraId="26E8E08B">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87983"/>
    <w:multiLevelType w:val="multilevel"/>
    <w:tmpl w:val="8F987983"/>
    <w:lvl w:ilvl="0" w:tentative="0">
      <w:start w:val="1"/>
      <w:numFmt w:val="chineseCounting"/>
      <w:suff w:val="nothing"/>
      <w:lvlText w:val="（%1）"/>
      <w:lvlJc w:val="left"/>
      <w:pPr>
        <w:ind w:left="-109" w:firstLine="420"/>
      </w:pPr>
      <w:rPr>
        <w:rFonts w:hint="eastAsia" w:ascii="方正楷体_GBK" w:hAnsi="方正楷体_GBK" w:eastAsia="方正楷体_GBK" w:cs="方正楷体_GBK"/>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FD095353"/>
    <w:multiLevelType w:val="multilevel"/>
    <w:tmpl w:val="FD095353"/>
    <w:lvl w:ilvl="0" w:tentative="0">
      <w:start w:val="5"/>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6BE53E26"/>
    <w:multiLevelType w:val="multilevel"/>
    <w:tmpl w:val="6BE53E26"/>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kNGM3YjQyMzY2ZWZiYzBkMDg5OWJjOWM3ZWRhMmEifQ=="/>
  </w:docVars>
  <w:rsids>
    <w:rsidRoot w:val="00172A27"/>
    <w:rsid w:val="0078143C"/>
    <w:rsid w:val="0103164E"/>
    <w:rsid w:val="012670EA"/>
    <w:rsid w:val="01661ED8"/>
    <w:rsid w:val="01D628BE"/>
    <w:rsid w:val="02335DA9"/>
    <w:rsid w:val="02B71E17"/>
    <w:rsid w:val="04A40A52"/>
    <w:rsid w:val="04CF072A"/>
    <w:rsid w:val="05342947"/>
    <w:rsid w:val="053C061D"/>
    <w:rsid w:val="05710F60"/>
    <w:rsid w:val="060B39E8"/>
    <w:rsid w:val="060B6FA9"/>
    <w:rsid w:val="06F7539A"/>
    <w:rsid w:val="07375BAD"/>
    <w:rsid w:val="07500A1D"/>
    <w:rsid w:val="07551D64"/>
    <w:rsid w:val="07C66F31"/>
    <w:rsid w:val="07DB478B"/>
    <w:rsid w:val="093C56FD"/>
    <w:rsid w:val="09DB4F16"/>
    <w:rsid w:val="0A03446D"/>
    <w:rsid w:val="0AA25A34"/>
    <w:rsid w:val="0B7162DD"/>
    <w:rsid w:val="0BDF03FF"/>
    <w:rsid w:val="0C096CE9"/>
    <w:rsid w:val="0D66668B"/>
    <w:rsid w:val="0D782A7C"/>
    <w:rsid w:val="0DE61630"/>
    <w:rsid w:val="0EA31D7A"/>
    <w:rsid w:val="11EE155E"/>
    <w:rsid w:val="120B3EBE"/>
    <w:rsid w:val="12492C39"/>
    <w:rsid w:val="12E27315"/>
    <w:rsid w:val="13180F89"/>
    <w:rsid w:val="132536A6"/>
    <w:rsid w:val="13631AD8"/>
    <w:rsid w:val="137912FC"/>
    <w:rsid w:val="13857CA0"/>
    <w:rsid w:val="13C62793"/>
    <w:rsid w:val="14172FEE"/>
    <w:rsid w:val="143C2A55"/>
    <w:rsid w:val="144B2C98"/>
    <w:rsid w:val="14877AD9"/>
    <w:rsid w:val="14BC5944"/>
    <w:rsid w:val="14C36CD2"/>
    <w:rsid w:val="150F0169"/>
    <w:rsid w:val="1515244B"/>
    <w:rsid w:val="160B0931"/>
    <w:rsid w:val="16573B76"/>
    <w:rsid w:val="167C538B"/>
    <w:rsid w:val="168D3A3C"/>
    <w:rsid w:val="171C091C"/>
    <w:rsid w:val="177B3894"/>
    <w:rsid w:val="17DB4333"/>
    <w:rsid w:val="187D53EA"/>
    <w:rsid w:val="18F57676"/>
    <w:rsid w:val="19502AFF"/>
    <w:rsid w:val="19E70E0E"/>
    <w:rsid w:val="1A1A55E6"/>
    <w:rsid w:val="1A7F5449"/>
    <w:rsid w:val="1C515E33"/>
    <w:rsid w:val="1C71170A"/>
    <w:rsid w:val="1CB82E95"/>
    <w:rsid w:val="1CB94ACC"/>
    <w:rsid w:val="1CCE090A"/>
    <w:rsid w:val="1CE75528"/>
    <w:rsid w:val="1CF63F94"/>
    <w:rsid w:val="1D385D84"/>
    <w:rsid w:val="1D4666F2"/>
    <w:rsid w:val="1DA63635"/>
    <w:rsid w:val="1E124827"/>
    <w:rsid w:val="1E777B84"/>
    <w:rsid w:val="1E873426"/>
    <w:rsid w:val="1EB455B1"/>
    <w:rsid w:val="1F456772"/>
    <w:rsid w:val="1F5A6485"/>
    <w:rsid w:val="1F843502"/>
    <w:rsid w:val="1FAE597E"/>
    <w:rsid w:val="1FBF278C"/>
    <w:rsid w:val="208F2F74"/>
    <w:rsid w:val="20D940E5"/>
    <w:rsid w:val="21352D06"/>
    <w:rsid w:val="213D3949"/>
    <w:rsid w:val="21667363"/>
    <w:rsid w:val="217A2E0F"/>
    <w:rsid w:val="21D73DBD"/>
    <w:rsid w:val="22640E88"/>
    <w:rsid w:val="227212BF"/>
    <w:rsid w:val="22BB36DF"/>
    <w:rsid w:val="236F3FA1"/>
    <w:rsid w:val="239857CE"/>
    <w:rsid w:val="23F53575"/>
    <w:rsid w:val="244D0366"/>
    <w:rsid w:val="24831FDA"/>
    <w:rsid w:val="24F904EE"/>
    <w:rsid w:val="250749B9"/>
    <w:rsid w:val="27197EF7"/>
    <w:rsid w:val="27227F20"/>
    <w:rsid w:val="27392D65"/>
    <w:rsid w:val="281C1CDD"/>
    <w:rsid w:val="28243AD4"/>
    <w:rsid w:val="28553C8E"/>
    <w:rsid w:val="287560DE"/>
    <w:rsid w:val="28D15A0A"/>
    <w:rsid w:val="28D70513"/>
    <w:rsid w:val="28ED3EC6"/>
    <w:rsid w:val="28EF5E90"/>
    <w:rsid w:val="294547AB"/>
    <w:rsid w:val="29A409E2"/>
    <w:rsid w:val="29AB0F97"/>
    <w:rsid w:val="2A120B13"/>
    <w:rsid w:val="2A48601C"/>
    <w:rsid w:val="2BDA2E28"/>
    <w:rsid w:val="2BE5357A"/>
    <w:rsid w:val="2BF87A83"/>
    <w:rsid w:val="2C0559CB"/>
    <w:rsid w:val="2C583D4C"/>
    <w:rsid w:val="2C852FA6"/>
    <w:rsid w:val="2CA156F3"/>
    <w:rsid w:val="2CA70830"/>
    <w:rsid w:val="2CE06F89"/>
    <w:rsid w:val="2CE65139"/>
    <w:rsid w:val="2DF81EC7"/>
    <w:rsid w:val="2E1732AD"/>
    <w:rsid w:val="2E175F35"/>
    <w:rsid w:val="2E291947"/>
    <w:rsid w:val="2E715761"/>
    <w:rsid w:val="2F9432ED"/>
    <w:rsid w:val="2FD55C28"/>
    <w:rsid w:val="2FE154CA"/>
    <w:rsid w:val="30355CA3"/>
    <w:rsid w:val="307A051D"/>
    <w:rsid w:val="30B31E99"/>
    <w:rsid w:val="31151D86"/>
    <w:rsid w:val="315341B6"/>
    <w:rsid w:val="31E11B7C"/>
    <w:rsid w:val="3216448E"/>
    <w:rsid w:val="329D695D"/>
    <w:rsid w:val="32A9248E"/>
    <w:rsid w:val="32B3634E"/>
    <w:rsid w:val="32E16709"/>
    <w:rsid w:val="331A7FAD"/>
    <w:rsid w:val="338C5C77"/>
    <w:rsid w:val="34943763"/>
    <w:rsid w:val="349F7963"/>
    <w:rsid w:val="34DA79F4"/>
    <w:rsid w:val="35170C48"/>
    <w:rsid w:val="35417A73"/>
    <w:rsid w:val="359D18C9"/>
    <w:rsid w:val="35CB1A33"/>
    <w:rsid w:val="364A5716"/>
    <w:rsid w:val="36D93CDC"/>
    <w:rsid w:val="36DA5D02"/>
    <w:rsid w:val="37704640"/>
    <w:rsid w:val="37AC75E6"/>
    <w:rsid w:val="37D60860"/>
    <w:rsid w:val="37FA631F"/>
    <w:rsid w:val="3879488C"/>
    <w:rsid w:val="389936DA"/>
    <w:rsid w:val="38C84008"/>
    <w:rsid w:val="38DC7CD8"/>
    <w:rsid w:val="39003FD0"/>
    <w:rsid w:val="39B5458C"/>
    <w:rsid w:val="3AD13648"/>
    <w:rsid w:val="3B6137C7"/>
    <w:rsid w:val="3B64270E"/>
    <w:rsid w:val="3C0A7E90"/>
    <w:rsid w:val="3CB6189E"/>
    <w:rsid w:val="3D2D6B2F"/>
    <w:rsid w:val="3D864BBD"/>
    <w:rsid w:val="3DEB4A20"/>
    <w:rsid w:val="3E1C5380"/>
    <w:rsid w:val="3E241CE0"/>
    <w:rsid w:val="3E846C23"/>
    <w:rsid w:val="3E9E7CE5"/>
    <w:rsid w:val="3EB01C0D"/>
    <w:rsid w:val="3EE36D79"/>
    <w:rsid w:val="3F0C1671"/>
    <w:rsid w:val="3F2D1069"/>
    <w:rsid w:val="3F7647BE"/>
    <w:rsid w:val="406D3E12"/>
    <w:rsid w:val="412D5350"/>
    <w:rsid w:val="415B3C6B"/>
    <w:rsid w:val="41CC6917"/>
    <w:rsid w:val="42725710"/>
    <w:rsid w:val="42CE4911"/>
    <w:rsid w:val="42F11657"/>
    <w:rsid w:val="433C187A"/>
    <w:rsid w:val="43A0005B"/>
    <w:rsid w:val="440E3217"/>
    <w:rsid w:val="44915BF6"/>
    <w:rsid w:val="452C1270"/>
    <w:rsid w:val="4710165C"/>
    <w:rsid w:val="47254E2C"/>
    <w:rsid w:val="47596E9F"/>
    <w:rsid w:val="47D66741"/>
    <w:rsid w:val="48246AD5"/>
    <w:rsid w:val="489D4055"/>
    <w:rsid w:val="48B40105"/>
    <w:rsid w:val="48F1652B"/>
    <w:rsid w:val="498B5309"/>
    <w:rsid w:val="49C57D0C"/>
    <w:rsid w:val="4A32792F"/>
    <w:rsid w:val="4ABE45F0"/>
    <w:rsid w:val="4AC00FE3"/>
    <w:rsid w:val="4AC666BA"/>
    <w:rsid w:val="4AE64EED"/>
    <w:rsid w:val="4BA92BA5"/>
    <w:rsid w:val="4BC863A1"/>
    <w:rsid w:val="4C6205A3"/>
    <w:rsid w:val="4C7E44BD"/>
    <w:rsid w:val="4C8229F4"/>
    <w:rsid w:val="4D113D78"/>
    <w:rsid w:val="4D570F71"/>
    <w:rsid w:val="4D7C5695"/>
    <w:rsid w:val="4DC67027"/>
    <w:rsid w:val="4DDE1EAC"/>
    <w:rsid w:val="4E092CA1"/>
    <w:rsid w:val="4E143AD5"/>
    <w:rsid w:val="4E661EA1"/>
    <w:rsid w:val="4E7740AE"/>
    <w:rsid w:val="4E944C60"/>
    <w:rsid w:val="4EBD163F"/>
    <w:rsid w:val="4FDC241B"/>
    <w:rsid w:val="4FF5172F"/>
    <w:rsid w:val="502F2E92"/>
    <w:rsid w:val="503B1837"/>
    <w:rsid w:val="5060304C"/>
    <w:rsid w:val="50836D3A"/>
    <w:rsid w:val="50B27620"/>
    <w:rsid w:val="50BE5FC4"/>
    <w:rsid w:val="52861EA1"/>
    <w:rsid w:val="52927709"/>
    <w:rsid w:val="52946FDD"/>
    <w:rsid w:val="52D90E94"/>
    <w:rsid w:val="538928BA"/>
    <w:rsid w:val="553C395C"/>
    <w:rsid w:val="5540344C"/>
    <w:rsid w:val="554466E6"/>
    <w:rsid w:val="55BA31FE"/>
    <w:rsid w:val="55D21ADB"/>
    <w:rsid w:val="56772E9D"/>
    <w:rsid w:val="56813D1C"/>
    <w:rsid w:val="56861332"/>
    <w:rsid w:val="56CB31E9"/>
    <w:rsid w:val="57AA1051"/>
    <w:rsid w:val="583628E4"/>
    <w:rsid w:val="5855720E"/>
    <w:rsid w:val="58E16CF4"/>
    <w:rsid w:val="592F7A5F"/>
    <w:rsid w:val="59D423B5"/>
    <w:rsid w:val="59F91E1B"/>
    <w:rsid w:val="5A071038"/>
    <w:rsid w:val="5A3E3CD2"/>
    <w:rsid w:val="5B0867BA"/>
    <w:rsid w:val="5B2B6898"/>
    <w:rsid w:val="5C2F421A"/>
    <w:rsid w:val="5C6325FC"/>
    <w:rsid w:val="5DAA0AB2"/>
    <w:rsid w:val="5DD24E5D"/>
    <w:rsid w:val="5DE942B2"/>
    <w:rsid w:val="5F0A4A08"/>
    <w:rsid w:val="5F0F41DC"/>
    <w:rsid w:val="5F1A4D0E"/>
    <w:rsid w:val="605B42B2"/>
    <w:rsid w:val="60897F67"/>
    <w:rsid w:val="60AE3960"/>
    <w:rsid w:val="60DF7FBD"/>
    <w:rsid w:val="61D4389A"/>
    <w:rsid w:val="61F01D56"/>
    <w:rsid w:val="61F12AC0"/>
    <w:rsid w:val="62183B0B"/>
    <w:rsid w:val="62F74D55"/>
    <w:rsid w:val="631B72A6"/>
    <w:rsid w:val="63827325"/>
    <w:rsid w:val="63D00091"/>
    <w:rsid w:val="63F518A5"/>
    <w:rsid w:val="643A375C"/>
    <w:rsid w:val="652F0DE7"/>
    <w:rsid w:val="65724FDE"/>
    <w:rsid w:val="65B337C6"/>
    <w:rsid w:val="65C92FEA"/>
    <w:rsid w:val="66430FEE"/>
    <w:rsid w:val="668005C9"/>
    <w:rsid w:val="66BB63A7"/>
    <w:rsid w:val="678B1324"/>
    <w:rsid w:val="68AB69D7"/>
    <w:rsid w:val="68B25FB7"/>
    <w:rsid w:val="69434A4E"/>
    <w:rsid w:val="694F09B2"/>
    <w:rsid w:val="69AD45A4"/>
    <w:rsid w:val="69C52072"/>
    <w:rsid w:val="6A6041B6"/>
    <w:rsid w:val="6AAD4C88"/>
    <w:rsid w:val="6AF03EFC"/>
    <w:rsid w:val="6B52582F"/>
    <w:rsid w:val="6B6C68F1"/>
    <w:rsid w:val="6C5D56EC"/>
    <w:rsid w:val="6C635F46"/>
    <w:rsid w:val="6CA83959"/>
    <w:rsid w:val="6E6C6C08"/>
    <w:rsid w:val="6E8720DF"/>
    <w:rsid w:val="6F4F27B2"/>
    <w:rsid w:val="6F9B77A5"/>
    <w:rsid w:val="6FD12DBB"/>
    <w:rsid w:val="6FD902CD"/>
    <w:rsid w:val="70467BAB"/>
    <w:rsid w:val="70B678C8"/>
    <w:rsid w:val="71B7463E"/>
    <w:rsid w:val="72683032"/>
    <w:rsid w:val="72AA589A"/>
    <w:rsid w:val="72ED6541"/>
    <w:rsid w:val="72F4634D"/>
    <w:rsid w:val="73C47BEA"/>
    <w:rsid w:val="744A1799"/>
    <w:rsid w:val="74BE7038"/>
    <w:rsid w:val="75864A32"/>
    <w:rsid w:val="759A04FF"/>
    <w:rsid w:val="762F7010"/>
    <w:rsid w:val="76CC0B8C"/>
    <w:rsid w:val="77CE4490"/>
    <w:rsid w:val="77FF76BB"/>
    <w:rsid w:val="784B5AE0"/>
    <w:rsid w:val="785A0336"/>
    <w:rsid w:val="78E91487"/>
    <w:rsid w:val="79357F8E"/>
    <w:rsid w:val="793675A6"/>
    <w:rsid w:val="7A450C8F"/>
    <w:rsid w:val="7AF75AAB"/>
    <w:rsid w:val="7B0B1DCF"/>
    <w:rsid w:val="7B4968DB"/>
    <w:rsid w:val="7B62561B"/>
    <w:rsid w:val="7D0821F2"/>
    <w:rsid w:val="7D2708CA"/>
    <w:rsid w:val="7D847ACA"/>
    <w:rsid w:val="7DB163E5"/>
    <w:rsid w:val="7EAD3628"/>
    <w:rsid w:val="7F065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keepNext/>
      <w:keepLines/>
      <w:spacing w:line="600" w:lineRule="exact"/>
      <w:ind w:firstLine="880" w:firstLineChars="200"/>
      <w:outlineLvl w:val="1"/>
    </w:pPr>
    <w:rPr>
      <w:rFonts w:ascii="Times New Roman" w:hAnsi="Times New Roman" w:eastAsia="方正楷体_GBK" w:cs="Times New Roman"/>
      <w:sz w:val="36"/>
      <w:szCs w:val="36"/>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spacing w:beforeLines="0" w:afterLines="0"/>
      <w:ind w:firstLine="420" w:firstLineChars="200"/>
    </w:pPr>
    <w:rPr>
      <w:rFonts w:hint="default"/>
      <w:sz w:val="21"/>
      <w:szCs w:val="24"/>
    </w:rPr>
  </w:style>
  <w:style w:type="paragraph" w:styleId="5">
    <w:name w:val="Body Text"/>
    <w:basedOn w:val="1"/>
    <w:next w:val="1"/>
    <w:qFormat/>
    <w:uiPriority w:val="0"/>
    <w:pPr>
      <w:spacing w:after="120"/>
    </w:pPr>
  </w:style>
  <w:style w:type="paragraph" w:styleId="6">
    <w:name w:val="Body Text Indent"/>
    <w:basedOn w:val="1"/>
    <w:next w:val="7"/>
    <w:qFormat/>
    <w:uiPriority w:val="0"/>
    <w:pPr>
      <w:spacing w:after="120" w:afterLines="0" w:afterAutospacing="0"/>
      <w:ind w:left="420" w:leftChars="200"/>
    </w:pPr>
  </w:style>
  <w:style w:type="paragraph" w:styleId="7">
    <w:name w:val="envelope return"/>
    <w:basedOn w:val="1"/>
    <w:qFormat/>
    <w:uiPriority w:val="0"/>
    <w:pPr>
      <w:snapToGrid w:val="0"/>
    </w:pPr>
    <w:rPr>
      <w:rFonts w:ascii="Arial" w:hAnsi="Arial" w:eastAsia="宋体" w:cs="Times New Roman"/>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5"/>
    <w:next w:val="1"/>
    <w:qFormat/>
    <w:uiPriority w:val="0"/>
    <w:pPr>
      <w:ind w:firstLine="420" w:firstLineChars="100"/>
    </w:pPr>
  </w:style>
  <w:style w:type="paragraph" w:styleId="12">
    <w:name w:val="Body Text First Indent 2"/>
    <w:basedOn w:val="6"/>
    <w:next w:val="11"/>
    <w:qFormat/>
    <w:uiPriority w:val="0"/>
  </w:style>
  <w:style w:type="table" w:styleId="14">
    <w:name w:val="Table Grid"/>
    <w:basedOn w:val="13"/>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qFormat/>
    <w:uiPriority w:val="0"/>
    <w:rPr>
      <w:color w:val="0000FF"/>
      <w:u w:val="single"/>
    </w:rPr>
  </w:style>
  <w:style w:type="paragraph" w:customStyle="1" w:styleId="17">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List 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方正仿宋_GBK" w:cs="Times New Roman"/>
      <w:kern w:val="2"/>
      <w:sz w:val="32"/>
      <w:szCs w:val="32"/>
      <w:lang w:val="en-US" w:eastAsia="zh-CN" w:bidi="ar"/>
    </w:rPr>
  </w:style>
  <w:style w:type="paragraph" w:customStyle="1" w:styleId="19">
    <w:name w:val="正文文本1"/>
    <w:basedOn w:val="1"/>
    <w:qFormat/>
    <w:uiPriority w:val="0"/>
    <w:pPr>
      <w:keepNext w:val="0"/>
      <w:keepLines w:val="0"/>
      <w:widowControl w:val="0"/>
      <w:suppressLineNumbers w:val="0"/>
      <w:spacing w:before="0" w:beforeAutospacing="0" w:after="0" w:afterAutospacing="0" w:line="424" w:lineRule="auto"/>
      <w:ind w:left="0" w:right="0" w:firstLine="400"/>
      <w:jc w:val="both"/>
    </w:pPr>
    <w:rPr>
      <w:rFonts w:hint="eastAsia" w:ascii="仿宋" w:hAnsi="仿宋" w:eastAsia="仿宋" w:cs="仿宋"/>
      <w:kern w:val="2"/>
      <w:sz w:val="30"/>
      <w:szCs w:val="30"/>
      <w:lang w:val="en-US" w:eastAsia="zh-CN" w:bidi="ar"/>
    </w:rPr>
  </w:style>
  <w:style w:type="paragraph" w:customStyle="1" w:styleId="20">
    <w:name w:val="正文 A"/>
    <w:unhideWhenUsed/>
    <w:qFormat/>
    <w:uiPriority w:val="0"/>
    <w:pPr>
      <w:framePr w:wrap="auto" w:vAnchor="margin" w:hAnchor="text" w:yAlign="top"/>
      <w:widowControl w:val="0"/>
      <w:spacing w:beforeLines="0" w:afterLines="0"/>
      <w:jc w:val="both"/>
    </w:pPr>
    <w:rPr>
      <w:rFonts w:hint="default" w:ascii="Calibri" w:hAnsi="Calibri" w:eastAsia="宋体" w:cs="Arial Unicode MS"/>
      <w:color w:val="000000"/>
      <w:kern w:val="2"/>
      <w:sz w:val="32"/>
      <w:szCs w:val="32"/>
      <w:lang w:val="en-US" w:eastAsia="zh-CN" w:bidi="ar-SA"/>
    </w:rPr>
  </w:style>
  <w:style w:type="paragraph" w:customStyle="1" w:styleId="21">
    <w:name w:val="01标题1"/>
    <w:next w:val="22"/>
    <w:unhideWhenUsed/>
    <w:qFormat/>
    <w:uiPriority w:val="0"/>
    <w:pPr>
      <w:spacing w:beforeLines="0" w:afterLines="0" w:line="570" w:lineRule="exact"/>
      <w:ind w:firstLine="200" w:firstLineChars="200"/>
      <w:outlineLvl w:val="0"/>
    </w:pPr>
    <w:rPr>
      <w:rFonts w:hint="default" w:ascii="宋体" w:hAnsi="宋体" w:eastAsia="黑体" w:cs="宋体"/>
      <w:kern w:val="44"/>
      <w:sz w:val="32"/>
      <w:szCs w:val="44"/>
      <w:lang w:val="en-US" w:eastAsia="zh-CN" w:bidi="ar-SA"/>
    </w:rPr>
  </w:style>
  <w:style w:type="paragraph" w:customStyle="1" w:styleId="22">
    <w:name w:val="05正文"/>
    <w:basedOn w:val="1"/>
    <w:unhideWhenUsed/>
    <w:qFormat/>
    <w:uiPriority w:val="0"/>
    <w:pPr>
      <w:spacing w:beforeLines="0" w:afterLines="0" w:line="570" w:lineRule="exact"/>
      <w:ind w:firstLine="200"/>
    </w:pPr>
    <w:rPr>
      <w:rFonts w:hint="default" w:ascii="宋体" w:eastAsia="仿宋_GB231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曲靖市直属党政机关单位</Company>
  <Pages>10</Pages>
  <Words>6718</Words>
  <Characters>7059</Characters>
  <Lines>1</Lines>
  <Paragraphs>1</Paragraphs>
  <TotalTime>2</TotalTime>
  <ScaleCrop>false</ScaleCrop>
  <LinksUpToDate>false</LinksUpToDate>
  <CharactersWithSpaces>7118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2025-07-18T02:30:00Z</dcterms:created>
  <dc:creator>Administrator</dc:creator>
  <cp:lastModifiedBy>微信用户</cp:lastModifiedBy>
  <cp:lastPrinted>2025-09-29T09:17:00Z</cp:lastPrinted>
  <dcterms:modified xsi:type="dcterms:W3CDTF">2025-09-29T10:50:44Z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B156EF06442345259AC481BA1BD0E24B_13</vt:lpwstr>
  </property>
  <property fmtid="{D5CDD505-2E9C-101B-9397-08002B2CF9AE}" pid="4" name="KSOTemplateDocerSaveRecord">
    <vt:lpwstr>eyJoZGlkIjoiOTJiYjExZjYyOWIxZDMzZTcxNGM4MWRjNGM4ZDMyMmYiLCJ1c2VySWQiOiI0MTU5MDcwNzIifQ==</vt:lpwstr>
  </property>
</Properties>
</file>