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黑体;SimHei" w:hAnsi="黑体;SimHei" w:eastAsia="黑体;SimHei" w:cs="黑体;SimHei"/>
          <w:sz w:val="36"/>
          <w:szCs w:val="36"/>
        </w:rPr>
      </w:pPr>
      <w:r>
        <w:rPr>
          <w:rFonts w:ascii="黑体;SimHei" w:hAnsi="黑体;SimHei" w:cs="黑体;SimHei" w:eastAsia="黑体;SimHei"/>
          <w:sz w:val="36"/>
          <w:szCs w:val="36"/>
        </w:rPr>
        <w:t>曲靖市食品药品监督管理局</w:t>
      </w:r>
      <w:r>
        <w:rPr>
          <w:rFonts w:eastAsia="黑体;SimHei" w:cs="黑体;SimHei" w:ascii="黑体;SimHei" w:hAnsi="黑体;SimHei"/>
          <w:sz w:val="36"/>
          <w:szCs w:val="36"/>
        </w:rPr>
        <w:t>2017</w:t>
      </w:r>
      <w:r>
        <w:rPr>
          <w:rFonts w:ascii="黑体;SimHei" w:hAnsi="黑体;SimHei" w:cs="黑体;SimHei" w:eastAsia="黑体;SimHei"/>
          <w:sz w:val="36"/>
          <w:szCs w:val="36"/>
        </w:rPr>
        <w:t>年度部门决算公开</w:t>
      </w:r>
    </w:p>
    <w:p>
      <w:pPr>
        <w:pStyle w:val="Normal"/>
        <w:jc w:val="center"/>
        <w:rPr>
          <w:rFonts w:ascii="黑体;SimHei" w:hAnsi="黑体;SimHei" w:eastAsia="黑体;SimHei" w:cs="黑体;SimHei"/>
          <w:sz w:val="36"/>
          <w:szCs w:val="36"/>
        </w:rPr>
      </w:pPr>
      <w:r>
        <w:rPr>
          <w:rFonts w:eastAsia="黑体;SimHei" w:cs="黑体;SimHei" w:ascii="黑体;SimHei" w:hAnsi="黑体;SimHei"/>
          <w:sz w:val="36"/>
          <w:szCs w:val="36"/>
        </w:rPr>
      </w:r>
    </w:p>
    <w:p>
      <w:pPr>
        <w:pStyle w:val="Normal"/>
        <w:jc w:val="center"/>
        <w:rPr>
          <w:rFonts w:ascii="黑体;SimHei" w:hAnsi="黑体;SimHei" w:eastAsia="黑体;SimHei" w:cs="黑体;SimHei"/>
          <w:sz w:val="36"/>
          <w:szCs w:val="36"/>
        </w:rPr>
      </w:pPr>
      <w:r>
        <w:rPr>
          <w:rFonts w:ascii="黑体;SimHei" w:hAnsi="黑体;SimHei" w:cs="黑体;SimHei" w:eastAsia="黑体;SimHei"/>
          <w:sz w:val="36"/>
          <w:szCs w:val="36"/>
        </w:rPr>
        <w:t>目     录</w:t>
      </w:r>
    </w:p>
    <w:p>
      <w:pPr>
        <w:pStyle w:val="Normal"/>
        <w:spacing w:lineRule="exact" w:line="560"/>
        <w:rPr>
          <w:rFonts w:ascii="黑体;SimHei" w:hAnsi="黑体;SimHei" w:eastAsia="黑体;SimHei" w:cs="黑体;SimHei"/>
          <w:sz w:val="30"/>
          <w:szCs w:val="30"/>
        </w:rPr>
      </w:pPr>
      <w:r>
        <w:rPr>
          <w:rFonts w:ascii="黑体;SimHei" w:hAnsi="黑体;SimHei" w:cs="黑体;SimHei" w:eastAsia="黑体;SimHei"/>
          <w:sz w:val="30"/>
          <w:szCs w:val="30"/>
        </w:rPr>
        <w:t>第一部分  部门概况</w:t>
      </w:r>
    </w:p>
    <w:p>
      <w:pPr>
        <w:pStyle w:val="Normal"/>
        <w:spacing w:lineRule="exact" w:line="560"/>
        <w:rPr>
          <w:rFonts w:ascii="楷体" w:hAnsi="楷体" w:eastAsia="楷体" w:cs="楷体"/>
          <w:sz w:val="30"/>
          <w:szCs w:val="30"/>
        </w:rPr>
      </w:pPr>
      <w:r>
        <w:rPr>
          <w:rFonts w:ascii="楷体" w:hAnsi="楷体" w:cs="楷体" w:eastAsia="楷体"/>
          <w:sz w:val="30"/>
          <w:szCs w:val="30"/>
        </w:rPr>
        <w:t>一、主要职能</w:t>
      </w:r>
    </w:p>
    <w:p>
      <w:pPr>
        <w:pStyle w:val="Normal"/>
        <w:spacing w:lineRule="exact" w:line="560"/>
        <w:rPr>
          <w:rFonts w:ascii="楷体" w:hAnsi="楷体" w:eastAsia="楷体" w:cs="楷体"/>
          <w:sz w:val="30"/>
          <w:szCs w:val="30"/>
        </w:rPr>
      </w:pPr>
      <w:r>
        <w:rPr>
          <w:rFonts w:ascii="楷体" w:hAnsi="楷体" w:cs="楷体" w:eastAsia="楷体"/>
          <w:sz w:val="30"/>
          <w:szCs w:val="30"/>
        </w:rPr>
        <w:t>二、部门基本情况</w:t>
      </w:r>
    </w:p>
    <w:p>
      <w:pPr>
        <w:pStyle w:val="Normal"/>
        <w:spacing w:lineRule="exact" w:line="560"/>
        <w:rPr>
          <w:rFonts w:ascii="黑体;SimHei" w:hAnsi="黑体;SimHei" w:eastAsia="黑体;SimHei" w:cs="黑体;SimHei"/>
          <w:sz w:val="30"/>
          <w:szCs w:val="30"/>
        </w:rPr>
      </w:pPr>
      <w:r>
        <w:rPr>
          <w:rFonts w:ascii="黑体;SimHei" w:hAnsi="黑体;SimHei" w:cs="黑体;SimHei" w:eastAsia="黑体;SimHei"/>
          <w:sz w:val="30"/>
          <w:szCs w:val="30"/>
        </w:rPr>
        <w:t xml:space="preserve">第二部分 </w:t>
      </w:r>
      <w:r>
        <w:rPr>
          <w:rFonts w:eastAsia="黑体;SimHei" w:cs="黑体;SimHei" w:ascii="黑体;SimHei" w:hAnsi="黑体;SimHei"/>
          <w:sz w:val="30"/>
          <w:szCs w:val="30"/>
        </w:rPr>
        <w:t>2017</w:t>
      </w:r>
      <w:r>
        <w:rPr>
          <w:rFonts w:ascii="黑体;SimHei" w:hAnsi="黑体;SimHei" w:cs="黑体;SimHei" w:eastAsia="黑体;SimHei"/>
          <w:sz w:val="30"/>
          <w:szCs w:val="30"/>
        </w:rPr>
        <w:t>年度部门决算表</w:t>
      </w:r>
    </w:p>
    <w:p>
      <w:pPr>
        <w:pStyle w:val="Normal"/>
        <w:spacing w:lineRule="exact" w:line="560"/>
        <w:rPr>
          <w:rFonts w:ascii="楷体" w:hAnsi="楷体" w:eastAsia="楷体" w:cs="楷体"/>
          <w:sz w:val="30"/>
          <w:szCs w:val="30"/>
        </w:rPr>
      </w:pPr>
      <w:r>
        <w:rPr>
          <w:rFonts w:ascii="楷体" w:hAnsi="楷体" w:cs="楷体" w:eastAsia="楷体"/>
          <w:sz w:val="30"/>
          <w:szCs w:val="30"/>
        </w:rPr>
        <w:t>一、收入支出决算总表</w:t>
      </w:r>
    </w:p>
    <w:p>
      <w:pPr>
        <w:pStyle w:val="Normal"/>
        <w:spacing w:lineRule="exact" w:line="560"/>
        <w:rPr>
          <w:rFonts w:ascii="楷体" w:hAnsi="楷体" w:eastAsia="楷体" w:cs="楷体"/>
          <w:sz w:val="30"/>
          <w:szCs w:val="30"/>
        </w:rPr>
      </w:pPr>
      <w:r>
        <w:rPr>
          <w:rFonts w:ascii="楷体" w:hAnsi="楷体" w:cs="楷体" w:eastAsia="楷体"/>
          <w:sz w:val="30"/>
          <w:szCs w:val="30"/>
        </w:rPr>
        <w:t>二、收入决算表</w:t>
      </w:r>
    </w:p>
    <w:p>
      <w:pPr>
        <w:pStyle w:val="Normal"/>
        <w:spacing w:lineRule="exact" w:line="560"/>
        <w:rPr>
          <w:rFonts w:ascii="楷体" w:hAnsi="楷体" w:eastAsia="楷体" w:cs="楷体"/>
          <w:sz w:val="30"/>
          <w:szCs w:val="30"/>
        </w:rPr>
      </w:pPr>
      <w:r>
        <w:rPr>
          <w:rFonts w:ascii="楷体" w:hAnsi="楷体" w:cs="楷体" w:eastAsia="楷体"/>
          <w:sz w:val="30"/>
          <w:szCs w:val="30"/>
        </w:rPr>
        <w:t>三、支出决算表</w:t>
      </w:r>
    </w:p>
    <w:p>
      <w:pPr>
        <w:pStyle w:val="Normal"/>
        <w:spacing w:lineRule="exact" w:line="560"/>
        <w:rPr>
          <w:rFonts w:ascii="楷体" w:hAnsi="楷体" w:eastAsia="楷体" w:cs="楷体"/>
          <w:sz w:val="30"/>
          <w:szCs w:val="30"/>
        </w:rPr>
      </w:pPr>
      <w:r>
        <w:rPr>
          <w:rFonts w:ascii="楷体" w:hAnsi="楷体" w:cs="楷体" w:eastAsia="楷体"/>
          <w:sz w:val="30"/>
          <w:szCs w:val="30"/>
        </w:rPr>
        <w:t>四、财政拨款收入支出决算总表</w:t>
      </w:r>
    </w:p>
    <w:p>
      <w:pPr>
        <w:pStyle w:val="Normal"/>
        <w:spacing w:lineRule="exact" w:line="560"/>
        <w:rPr>
          <w:rFonts w:ascii="楷体" w:hAnsi="楷体" w:eastAsia="楷体" w:cs="楷体"/>
          <w:sz w:val="30"/>
          <w:szCs w:val="30"/>
        </w:rPr>
      </w:pPr>
      <w:r>
        <w:rPr>
          <w:rFonts w:ascii="楷体" w:hAnsi="楷体" w:cs="楷体" w:eastAsia="楷体"/>
          <w:sz w:val="30"/>
          <w:szCs w:val="30"/>
        </w:rPr>
        <w:t>五、一般公共预算财政拨款收入支出决算表</w:t>
      </w:r>
    </w:p>
    <w:p>
      <w:pPr>
        <w:pStyle w:val="Normal"/>
        <w:spacing w:lineRule="exact" w:line="560"/>
        <w:rPr>
          <w:rFonts w:ascii="楷体" w:hAnsi="楷体" w:eastAsia="楷体" w:cs="楷体"/>
          <w:sz w:val="30"/>
          <w:szCs w:val="30"/>
        </w:rPr>
      </w:pPr>
      <w:r>
        <w:rPr>
          <w:rFonts w:ascii="楷体" w:hAnsi="楷体" w:cs="楷体" w:eastAsia="楷体"/>
          <w:sz w:val="30"/>
          <w:szCs w:val="30"/>
        </w:rPr>
        <w:t>六、一般公共预算财政拨款基本支出决算表</w:t>
      </w:r>
    </w:p>
    <w:p>
      <w:pPr>
        <w:pStyle w:val="Normal"/>
        <w:spacing w:lineRule="exact" w:line="560"/>
        <w:rPr>
          <w:rFonts w:ascii="楷体" w:hAnsi="楷体" w:eastAsia="楷体" w:cs="楷体"/>
          <w:sz w:val="30"/>
          <w:szCs w:val="30"/>
        </w:rPr>
      </w:pPr>
      <w:r>
        <w:rPr>
          <w:rFonts w:ascii="楷体" w:hAnsi="楷体" w:cs="楷体" w:eastAsia="楷体"/>
          <w:sz w:val="30"/>
          <w:szCs w:val="30"/>
        </w:rPr>
        <w:t>七、政府性基金预算财政拨款收入支出决算表</w:t>
      </w:r>
    </w:p>
    <w:p>
      <w:pPr>
        <w:pStyle w:val="Normal"/>
        <w:spacing w:lineRule="exact" w:line="560"/>
        <w:rPr>
          <w:rFonts w:ascii="楷体" w:hAnsi="楷体" w:eastAsia="楷体" w:cs="楷体"/>
          <w:sz w:val="30"/>
          <w:szCs w:val="30"/>
        </w:rPr>
      </w:pPr>
      <w:r>
        <w:rPr>
          <w:rFonts w:ascii="楷体" w:hAnsi="楷体" w:cs="楷体" w:eastAsia="楷体"/>
          <w:sz w:val="30"/>
          <w:szCs w:val="30"/>
        </w:rPr>
        <w:t>八、财政专户管理资金收入支出决算表</w:t>
      </w:r>
    </w:p>
    <w:p>
      <w:pPr>
        <w:pStyle w:val="Normal"/>
        <w:spacing w:lineRule="exact" w:line="560"/>
        <w:rPr>
          <w:rFonts w:ascii="楷体" w:hAnsi="楷体" w:eastAsia="楷体" w:cs="楷体"/>
          <w:sz w:val="30"/>
          <w:szCs w:val="30"/>
        </w:rPr>
      </w:pPr>
      <w:r>
        <w:rPr>
          <w:rFonts w:ascii="楷体" w:hAnsi="楷体" w:cs="楷体" w:eastAsia="楷体"/>
          <w:sz w:val="30"/>
          <w:szCs w:val="30"/>
        </w:rPr>
        <w:t>九、“三公”经费、行政参公单位机关运行经费情况表</w:t>
      </w:r>
    </w:p>
    <w:p>
      <w:pPr>
        <w:pStyle w:val="Normal"/>
        <w:spacing w:lineRule="exact" w:line="560"/>
        <w:rPr>
          <w:rFonts w:ascii="黑体;SimHei" w:hAnsi="黑体;SimHei" w:eastAsia="黑体;SimHei" w:cs="黑体;SimHei"/>
          <w:sz w:val="30"/>
          <w:szCs w:val="30"/>
        </w:rPr>
      </w:pPr>
      <w:r>
        <w:rPr>
          <w:rFonts w:ascii="黑体;SimHei" w:hAnsi="黑体;SimHei" w:cs="黑体;SimHei" w:eastAsia="黑体;SimHei"/>
          <w:sz w:val="30"/>
          <w:szCs w:val="30"/>
        </w:rPr>
        <w:t xml:space="preserve">第三部分 </w:t>
      </w:r>
      <w:r>
        <w:rPr>
          <w:rFonts w:eastAsia="黑体;SimHei" w:cs="黑体;SimHei" w:ascii="黑体;SimHei" w:hAnsi="黑体;SimHei"/>
          <w:sz w:val="30"/>
          <w:szCs w:val="30"/>
        </w:rPr>
        <w:t>2017</w:t>
      </w:r>
      <w:r>
        <w:rPr>
          <w:rFonts w:ascii="黑体;SimHei" w:hAnsi="黑体;SimHei" w:cs="黑体;SimHei" w:eastAsia="黑体;SimHei"/>
          <w:sz w:val="30"/>
          <w:szCs w:val="30"/>
        </w:rPr>
        <w:t>年度部门决算情况说明</w:t>
      </w:r>
    </w:p>
    <w:p>
      <w:pPr>
        <w:pStyle w:val="Normal"/>
        <w:spacing w:lineRule="exact" w:line="560"/>
        <w:rPr>
          <w:rFonts w:ascii="楷体" w:hAnsi="楷体" w:eastAsia="楷体" w:cs="楷体"/>
          <w:sz w:val="30"/>
          <w:szCs w:val="30"/>
        </w:rPr>
      </w:pPr>
      <w:r>
        <w:rPr>
          <w:rFonts w:ascii="楷体" w:hAnsi="楷体" w:cs="楷体" w:eastAsia="楷体"/>
          <w:sz w:val="30"/>
          <w:szCs w:val="30"/>
        </w:rPr>
        <w:t>一、收入决算情况说明</w:t>
      </w:r>
    </w:p>
    <w:p>
      <w:pPr>
        <w:pStyle w:val="Normal"/>
        <w:spacing w:lineRule="exact" w:line="560"/>
        <w:rPr>
          <w:rFonts w:ascii="楷体" w:hAnsi="楷体" w:eastAsia="楷体" w:cs="楷体"/>
          <w:sz w:val="30"/>
          <w:szCs w:val="30"/>
        </w:rPr>
      </w:pPr>
      <w:r>
        <w:rPr>
          <w:rFonts w:ascii="楷体" w:hAnsi="楷体" w:cs="楷体" w:eastAsia="楷体"/>
          <w:sz w:val="30"/>
          <w:szCs w:val="30"/>
        </w:rPr>
        <w:t>二、支出决算情况说明</w:t>
      </w:r>
    </w:p>
    <w:p>
      <w:pPr>
        <w:pStyle w:val="Normal"/>
        <w:spacing w:lineRule="exact" w:line="560"/>
        <w:rPr>
          <w:rFonts w:ascii="楷体" w:hAnsi="楷体" w:eastAsia="楷体" w:cs="楷体"/>
          <w:sz w:val="30"/>
          <w:szCs w:val="30"/>
        </w:rPr>
      </w:pPr>
      <w:r>
        <w:rPr>
          <w:rFonts w:ascii="楷体" w:hAnsi="楷体" w:cs="楷体" w:eastAsia="楷体"/>
          <w:sz w:val="30"/>
          <w:szCs w:val="30"/>
        </w:rPr>
        <w:t>三、一般公共预算财政拨款支出决算情况说明</w:t>
      </w:r>
    </w:p>
    <w:p>
      <w:pPr>
        <w:pStyle w:val="Normal"/>
        <w:snapToGrid w:val="false"/>
        <w:spacing w:lineRule="exact" w:line="560"/>
        <w:rPr>
          <w:rFonts w:ascii="楷体" w:hAnsi="楷体" w:eastAsia="楷体" w:cs="楷体"/>
          <w:sz w:val="30"/>
          <w:szCs w:val="30"/>
        </w:rPr>
      </w:pPr>
      <w:r>
        <w:rPr>
          <w:rFonts w:ascii="楷体" w:hAnsi="楷体" w:cs="楷体" w:eastAsia="楷体"/>
          <w:sz w:val="30"/>
          <w:szCs w:val="30"/>
        </w:rPr>
        <w:t>四、一般公共预算财政拨款“三公”经费支出决算情况说明</w:t>
      </w:r>
    </w:p>
    <w:p>
      <w:pPr>
        <w:pStyle w:val="Normal"/>
        <w:snapToGrid w:val="false"/>
        <w:spacing w:lineRule="exact" w:line="560"/>
        <w:rPr>
          <w:rFonts w:ascii="楷体" w:hAnsi="楷体" w:eastAsia="楷体" w:cs="楷体"/>
          <w:sz w:val="30"/>
          <w:szCs w:val="30"/>
        </w:rPr>
      </w:pPr>
      <w:r>
        <w:rPr>
          <w:rFonts w:ascii="楷体" w:hAnsi="楷体" w:cs="楷体" w:eastAsia="楷体"/>
          <w:sz w:val="30"/>
          <w:szCs w:val="30"/>
        </w:rPr>
        <w:t>五、其他重要事项及相关口径情况说明</w:t>
      </w:r>
    </w:p>
    <w:p>
      <w:pPr>
        <w:pStyle w:val="Normal"/>
        <w:snapToGrid w:val="false"/>
        <w:spacing w:lineRule="exact" w:line="560"/>
        <w:rPr>
          <w:rFonts w:ascii="黑体;SimHei" w:hAnsi="黑体;SimHei" w:eastAsia="黑体;SimHei" w:cs="黑体;SimHei"/>
          <w:sz w:val="30"/>
          <w:szCs w:val="30"/>
        </w:rPr>
      </w:pPr>
      <w:r>
        <w:rPr>
          <w:rFonts w:ascii="黑体;SimHei" w:hAnsi="黑体;SimHei" w:cs="黑体;SimHei" w:eastAsia="黑体;SimHei"/>
          <w:sz w:val="30"/>
          <w:szCs w:val="30"/>
        </w:rPr>
        <w:t>第四部分  名词解释</w:t>
      </w:r>
    </w:p>
    <w:p>
      <w:pPr>
        <w:pStyle w:val="Normal"/>
        <w:spacing w:lineRule="exact" w:line="560"/>
        <w:rPr>
          <w:rFonts w:ascii="黑体;SimHei" w:hAnsi="黑体;SimHei" w:eastAsia="黑体;SimHei" w:cs="黑体;SimHei"/>
          <w:sz w:val="32"/>
          <w:szCs w:val="32"/>
        </w:rPr>
      </w:pPr>
      <w:r>
        <w:rPr>
          <w:rFonts w:eastAsia="黑体;SimHei" w:cs="黑体;SimHei" w:ascii="黑体;SimHei" w:hAnsi="黑体;SimHei"/>
          <w:sz w:val="32"/>
          <w:szCs w:val="32"/>
        </w:rPr>
      </w:r>
    </w:p>
    <w:p>
      <w:pPr>
        <w:pStyle w:val="Normal"/>
        <w:spacing w:lineRule="exact" w:line="560"/>
        <w:ind w:firstLine="2720"/>
        <w:rPr>
          <w:rFonts w:ascii="黑体;SimHei" w:hAnsi="黑体;SimHei" w:eastAsia="黑体;SimHei" w:cs="黑体;SimHei"/>
          <w:sz w:val="32"/>
          <w:szCs w:val="32"/>
        </w:rPr>
      </w:pPr>
      <w:r>
        <w:rPr>
          <w:rFonts w:ascii="黑体;SimHei" w:hAnsi="黑体;SimHei" w:cs="黑体;SimHei" w:eastAsia="黑体;SimHei"/>
          <w:sz w:val="32"/>
          <w:szCs w:val="32"/>
        </w:rPr>
        <w:t>第一部分  部门概况</w:t>
      </w:r>
    </w:p>
    <w:p>
      <w:pPr>
        <w:pStyle w:val="Normal"/>
        <w:spacing w:lineRule="exact" w:line="560"/>
        <w:rPr>
          <w:rFonts w:ascii="黑体;SimHei" w:hAnsi="黑体;SimHei" w:eastAsia="黑体;SimHei" w:cs="黑体;SimHei"/>
          <w:sz w:val="30"/>
          <w:szCs w:val="30"/>
        </w:rPr>
      </w:pPr>
      <w:r>
        <w:rPr>
          <w:rFonts w:ascii="黑体;SimHei" w:hAnsi="黑体;SimHei" w:cs="黑体;SimHei" w:eastAsia="黑体;SimHei"/>
          <w:sz w:val="30"/>
          <w:szCs w:val="30"/>
        </w:rPr>
        <w:t>一、部门主要职能及</w:t>
      </w:r>
      <w:r>
        <w:rPr>
          <w:rFonts w:eastAsia="黑体;SimHei" w:cs="黑体;SimHei" w:ascii="黑体;SimHei" w:hAnsi="黑体;SimHei"/>
          <w:sz w:val="30"/>
          <w:szCs w:val="30"/>
        </w:rPr>
        <w:t>2017</w:t>
      </w:r>
      <w:r>
        <w:rPr>
          <w:rFonts w:ascii="黑体;SimHei" w:hAnsi="黑体;SimHei" w:cs="黑体;SimHei" w:eastAsia="黑体;SimHei"/>
          <w:sz w:val="30"/>
          <w:szCs w:val="30"/>
        </w:rPr>
        <w:t>年重点工作</w:t>
      </w:r>
    </w:p>
    <w:p>
      <w:pPr>
        <w:pStyle w:val="Normal"/>
        <w:spacing w:lineRule="exact" w:line="560"/>
        <w:rPr>
          <w:rFonts w:ascii="黑体;SimHei" w:hAnsi="黑体;SimHei" w:eastAsia="黑体;SimHei" w:cs="黑体;SimHei"/>
          <w:sz w:val="30"/>
          <w:szCs w:val="30"/>
        </w:rPr>
      </w:pPr>
      <w:r>
        <w:rPr>
          <w:rFonts w:ascii="黑体;SimHei" w:hAnsi="黑体;SimHei" w:cs="黑体;SimHei" w:eastAsia="黑体;SimHei"/>
          <w:bCs/>
          <w:sz w:val="30"/>
          <w:szCs w:val="30"/>
        </w:rPr>
        <w:t>（一）主要职能</w:t>
      </w:r>
    </w:p>
    <w:p>
      <w:pPr>
        <w:pStyle w:val="Normal"/>
        <w:autoSpaceDE w:val="false"/>
        <w:spacing w:lineRule="exact" w:line="560"/>
        <w:ind w:firstLine="636"/>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1</w:t>
      </w:r>
      <w:r>
        <w:rPr>
          <w:rFonts w:ascii="仿宋_GB2312;仿宋" w:hAnsi="仿宋_GB2312;仿宋" w:cs="方正仿宋_GBK;Arial Unicode MS" w:eastAsia="仿宋_GB2312;仿宋"/>
          <w:kern w:val="0"/>
          <w:sz w:val="30"/>
          <w:szCs w:val="30"/>
          <w:lang w:val="zh-CN"/>
        </w:rPr>
        <w:t>）负责贯彻实施食品（含餐饮服务食品、食品添加剂、保健食品，下同）安全、药品（含中药、民族药，下同）、医疗器械、化妆品监督管理的法律、法规和政策。参与起草有关规范性文件并组织实施，推动建立落实食品药品安全企业主体责任、各级政府负总责的机制，建立食品药品安全重大信息直报制度，并组织实施和监督检查，着力防范区域性、系统性食品药品安全风险。</w:t>
      </w:r>
    </w:p>
    <w:p>
      <w:pPr>
        <w:pStyle w:val="Normal"/>
        <w:autoSpaceDE w:val="false"/>
        <w:spacing w:lineRule="exact" w:line="560"/>
        <w:rPr>
          <w:rFonts w:ascii="仿宋_GB2312;仿宋" w:hAnsi="仿宋_GB2312;仿宋" w:eastAsia="仿宋_GB2312;仿宋" w:cs="·ÂËÎ;Times New Roman"/>
          <w:kern w:val="0"/>
          <w:sz w:val="30"/>
          <w:szCs w:val="30"/>
        </w:rPr>
      </w:pPr>
      <w:r>
        <w:rPr>
          <w:rFonts w:eastAsia="仿宋_GB2312;仿宋" w:cs="仿宋_GB2312;仿宋" w:ascii="仿宋_GB2312;仿宋" w:hAnsi="仿宋_GB2312;仿宋"/>
          <w:kern w:val="0"/>
          <w:sz w:val="30"/>
          <w:szCs w:val="30"/>
        </w:rPr>
        <w:t xml:space="preserve">    </w:t>
      </w: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2</w:t>
      </w:r>
      <w:r>
        <w:rPr>
          <w:rFonts w:ascii="仿宋_GB2312;仿宋" w:hAnsi="仿宋_GB2312;仿宋" w:cs="方正仿宋_GBK;Arial Unicode MS" w:eastAsia="仿宋_GB2312;仿宋"/>
          <w:kern w:val="0"/>
          <w:sz w:val="30"/>
          <w:szCs w:val="30"/>
          <w:lang w:val="zh-CN"/>
        </w:rPr>
        <w:t>）负责食品行政许可的监督实施。建立食品安全隐患排</w:t>
      </w:r>
    </w:p>
    <w:p>
      <w:pPr>
        <w:pStyle w:val="Normal"/>
        <w:autoSpaceDE w:val="false"/>
        <w:spacing w:lineRule="exact" w:line="560"/>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查治理机制，制定食品安全检查年度计划、整顿治理方案并组织落实。建立食品安全信息统一公布制度，公布重大食品安全信息。参与制定食品安全风险监测计划，根据食品安全风险监测计划开展食品安全风险监测工作。</w:t>
      </w:r>
    </w:p>
    <w:p>
      <w:pPr>
        <w:pStyle w:val="Normal"/>
        <w:autoSpaceDE w:val="false"/>
        <w:spacing w:lineRule="exact" w:line="560"/>
        <w:rPr>
          <w:rFonts w:ascii="仿宋_GB2312;仿宋" w:hAnsi="仿宋_GB2312;仿宋" w:eastAsia="仿宋_GB2312;仿宋" w:cs="·ÂËÎ;Times New Roman"/>
          <w:kern w:val="0"/>
          <w:sz w:val="30"/>
          <w:szCs w:val="30"/>
        </w:rPr>
      </w:pPr>
      <w:r>
        <w:rPr>
          <w:rFonts w:eastAsia="仿宋_GB2312;仿宋" w:cs="仿宋_GB2312;仿宋" w:ascii="仿宋_GB2312;仿宋" w:hAnsi="仿宋_GB2312;仿宋"/>
          <w:kern w:val="0"/>
          <w:sz w:val="30"/>
          <w:szCs w:val="30"/>
        </w:rPr>
        <w:t xml:space="preserve">    </w:t>
      </w: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3</w:t>
      </w:r>
      <w:r>
        <w:rPr>
          <w:rFonts w:ascii="仿宋_GB2312;仿宋" w:hAnsi="仿宋_GB2312;仿宋" w:cs="方正仿宋_GBK;Arial Unicode MS" w:eastAsia="仿宋_GB2312;仿宋"/>
          <w:kern w:val="0"/>
          <w:sz w:val="30"/>
          <w:szCs w:val="30"/>
          <w:lang w:val="zh-CN"/>
        </w:rPr>
        <w:t>）监督实施药品和医疗器械标准、分类管理制度。监督实施药品和医疗器械研制、生产、经营、使用质量管理规范。组织开展药品、医疗器械和化妆品的监督抽样工作。组织实施化妆品监督管理办法。配合实施国家基本药物制度。</w:t>
      </w:r>
    </w:p>
    <w:p>
      <w:pPr>
        <w:pStyle w:val="Normal"/>
        <w:autoSpaceDE w:val="false"/>
        <w:spacing w:lineRule="exact" w:line="560"/>
        <w:ind w:firstLine="636"/>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4</w:t>
      </w:r>
      <w:r>
        <w:rPr>
          <w:rFonts w:ascii="仿宋_GB2312;仿宋" w:hAnsi="仿宋_GB2312;仿宋" w:cs="方正仿宋_GBK;Arial Unicode MS" w:eastAsia="仿宋_GB2312;仿宋"/>
          <w:kern w:val="0"/>
          <w:sz w:val="30"/>
          <w:szCs w:val="30"/>
          <w:lang w:val="zh-CN"/>
        </w:rPr>
        <w:t>）监督实施药品、医疗器械、化妆品等方面的行政许可。承担上级下放和委托的有关审批事项。推进落实有关行政审批制度改革，负责行政审批的组织协调。</w:t>
      </w:r>
    </w:p>
    <w:p>
      <w:pPr>
        <w:pStyle w:val="Normal"/>
        <w:autoSpaceDE w:val="false"/>
        <w:spacing w:lineRule="exact" w:line="560"/>
        <w:ind w:firstLine="640"/>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5</w:t>
      </w:r>
      <w:r>
        <w:rPr>
          <w:rFonts w:ascii="仿宋_GB2312;仿宋" w:hAnsi="仿宋_GB2312;仿宋" w:cs="方正仿宋_GBK;Arial Unicode MS" w:eastAsia="仿宋_GB2312;仿宋"/>
          <w:kern w:val="0"/>
          <w:sz w:val="30"/>
          <w:szCs w:val="30"/>
          <w:lang w:val="zh-CN"/>
        </w:rPr>
        <w:t>）监督实施食品、药品、医疗器械、化妆品监督管理的稽查制度，规范行政执法行为，完善行政执法与刑事司法衔接机制，组织查处重大违法行为。依法处理有关食品药品安全的咨询、投诉、举报；监督实施问题产品召回和处置制度；负责药品、医疗器械、保健食品广告的监测检查，并按规定做好违法广告移送有关部门的工作。</w:t>
      </w:r>
    </w:p>
    <w:p>
      <w:pPr>
        <w:pStyle w:val="Normal"/>
        <w:autoSpaceDE w:val="false"/>
        <w:spacing w:lineRule="exact" w:line="560"/>
        <w:ind w:firstLine="636"/>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6</w:t>
      </w:r>
      <w:r>
        <w:rPr>
          <w:rFonts w:ascii="仿宋_GB2312;仿宋" w:hAnsi="仿宋_GB2312;仿宋" w:cs="方正仿宋_GBK;Arial Unicode MS" w:eastAsia="仿宋_GB2312;仿宋"/>
          <w:kern w:val="0"/>
          <w:sz w:val="30"/>
          <w:szCs w:val="30"/>
          <w:lang w:val="zh-CN"/>
        </w:rPr>
        <w:t>）负责建立药品、化妆品不良反应和医疗器械不良事件监测体系，并开展监测和报告工作，指导全市药物滥用监测、药物依赖防治康复工作。</w:t>
      </w:r>
    </w:p>
    <w:p>
      <w:pPr>
        <w:pStyle w:val="Normal"/>
        <w:autoSpaceDE w:val="false"/>
        <w:spacing w:lineRule="exact" w:line="560"/>
        <w:ind w:firstLine="600"/>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7</w:t>
      </w:r>
      <w:r>
        <w:rPr>
          <w:rFonts w:ascii="仿宋_GB2312;仿宋" w:hAnsi="仿宋_GB2312;仿宋" w:cs="方正仿宋_GBK;Arial Unicode MS" w:eastAsia="仿宋_GB2312;仿宋"/>
          <w:kern w:val="0"/>
          <w:sz w:val="30"/>
          <w:szCs w:val="30"/>
          <w:lang w:val="zh-CN"/>
        </w:rPr>
        <w:t>）负责食品药品安全事故应急体系建设，组织和指导食</w:t>
      </w:r>
    </w:p>
    <w:p>
      <w:pPr>
        <w:pStyle w:val="Normal"/>
        <w:autoSpaceDE w:val="false"/>
        <w:spacing w:lineRule="exact" w:line="560"/>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品药品安全事故应急处置和调查处理工作，监督食品药品安全事</w:t>
      </w:r>
    </w:p>
    <w:p>
      <w:pPr>
        <w:pStyle w:val="Normal"/>
        <w:autoSpaceDE w:val="false"/>
        <w:spacing w:lineRule="exact" w:line="560"/>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故查处落实情况。</w:t>
      </w:r>
    </w:p>
    <w:p>
      <w:pPr>
        <w:pStyle w:val="Normal"/>
        <w:autoSpaceDE w:val="false"/>
        <w:spacing w:lineRule="exact" w:line="560"/>
        <w:ind w:firstLine="645"/>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8</w:t>
      </w:r>
      <w:r>
        <w:rPr>
          <w:rFonts w:ascii="仿宋_GB2312;仿宋" w:hAnsi="仿宋_GB2312;仿宋" w:cs="方正仿宋_GBK;Arial Unicode MS" w:eastAsia="仿宋_GB2312;仿宋"/>
          <w:kern w:val="0"/>
          <w:sz w:val="30"/>
          <w:szCs w:val="30"/>
          <w:lang w:val="zh-CN"/>
        </w:rPr>
        <w:t>）负责制定食品药品安全科技发展规划并组织实施，推动食品药品检验检测体系、电子监管追溯体系和信息化建设。</w:t>
      </w:r>
    </w:p>
    <w:p>
      <w:pPr>
        <w:pStyle w:val="Normal"/>
        <w:autoSpaceDE w:val="false"/>
        <w:spacing w:lineRule="exact" w:line="560"/>
        <w:ind w:firstLine="640"/>
        <w:rPr>
          <w:rFonts w:ascii="仿宋_GB2312;仿宋" w:hAnsi="仿宋_GB2312;仿宋" w:eastAsia="仿宋_GB2312;仿宋" w:cs="方正仿宋_GBK;Arial Unicode MS"/>
          <w:kern w:val="0"/>
          <w:sz w:val="30"/>
          <w:szCs w:val="30"/>
          <w:lang w:val="zh-CN"/>
        </w:rPr>
      </w:pP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9</w:t>
      </w:r>
      <w:r>
        <w:rPr>
          <w:rFonts w:ascii="仿宋_GB2312;仿宋" w:hAnsi="仿宋_GB2312;仿宋" w:cs="方正仿宋_GBK;Arial Unicode MS" w:eastAsia="仿宋_GB2312;仿宋"/>
          <w:kern w:val="0"/>
          <w:sz w:val="30"/>
          <w:szCs w:val="30"/>
          <w:lang w:val="zh-CN"/>
        </w:rPr>
        <w:t>）负责开展食品药品安全宣传、教育培训以及与食品药品监督管理有关的对外交流与合作。推进诚信体系建设。</w:t>
      </w:r>
    </w:p>
    <w:p>
      <w:pPr>
        <w:pStyle w:val="Normal"/>
        <w:autoSpaceDE w:val="false"/>
        <w:spacing w:lineRule="exact" w:line="560"/>
        <w:ind w:firstLine="640"/>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10</w:t>
      </w:r>
      <w:r>
        <w:rPr>
          <w:rFonts w:ascii="仿宋_GB2312;仿宋" w:hAnsi="仿宋_GB2312;仿宋" w:cs="方正仿宋_GBK;Arial Unicode MS" w:eastAsia="仿宋_GB2312;仿宋"/>
          <w:kern w:val="0"/>
          <w:sz w:val="30"/>
          <w:szCs w:val="30"/>
          <w:lang w:val="zh-CN"/>
        </w:rPr>
        <w:t>）监督指导县（市、区）和曲靖经济技术开发区食品药品监督管理工作。</w:t>
      </w:r>
    </w:p>
    <w:p>
      <w:pPr>
        <w:pStyle w:val="Normal"/>
        <w:autoSpaceDE w:val="false"/>
        <w:spacing w:lineRule="exact" w:line="560"/>
        <w:ind w:firstLine="640"/>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11</w:t>
      </w:r>
      <w:r>
        <w:rPr>
          <w:rFonts w:ascii="仿宋_GB2312;仿宋" w:hAnsi="仿宋_GB2312;仿宋" w:cs="方正仿宋_GBK;Arial Unicode MS" w:eastAsia="仿宋_GB2312;仿宋"/>
          <w:kern w:val="0"/>
          <w:sz w:val="30"/>
          <w:szCs w:val="30"/>
          <w:lang w:val="zh-CN"/>
        </w:rPr>
        <w:t>）承担曲靖市人民政府食品安全委员会日常工作，负责食品安全监督管理综合协调，推动健全协调联动机制，牵头查处重特大食品安全事故，督促检查县（市、区）人民政府和曲靖经济技术开发区管委会履行食品安全监督管理职责并负责考核评价。</w:t>
      </w:r>
    </w:p>
    <w:p>
      <w:pPr>
        <w:pStyle w:val="Normal"/>
        <w:autoSpaceDE w:val="false"/>
        <w:spacing w:lineRule="exact" w:line="560"/>
        <w:ind w:firstLine="640"/>
        <w:rPr>
          <w:rFonts w:ascii="仿宋_GB2312;仿宋" w:hAnsi="仿宋_GB2312;仿宋" w:eastAsia="仿宋_GB2312;仿宋" w:cs="·ÂËÎ;Times New Roman"/>
          <w:kern w:val="0"/>
          <w:sz w:val="30"/>
          <w:szCs w:val="30"/>
        </w:rPr>
      </w:pPr>
      <w:r>
        <w:rPr>
          <w:rFonts w:ascii="仿宋_GB2312;仿宋" w:hAnsi="仿宋_GB2312;仿宋" w:cs="方正仿宋_GBK;Arial Unicode MS" w:eastAsia="仿宋_GB2312;仿宋"/>
          <w:kern w:val="0"/>
          <w:sz w:val="30"/>
          <w:szCs w:val="30"/>
          <w:lang w:val="zh-CN"/>
        </w:rPr>
        <w:t>（</w:t>
      </w:r>
      <w:r>
        <w:rPr>
          <w:rFonts w:eastAsia="仿宋_GB2312;仿宋" w:cs="方正仿宋_GBK;Arial Unicode MS" w:ascii="仿宋_GB2312;仿宋" w:hAnsi="仿宋_GB2312;仿宋"/>
          <w:kern w:val="0"/>
          <w:sz w:val="30"/>
          <w:szCs w:val="30"/>
          <w:lang w:val="zh-CN"/>
        </w:rPr>
        <w:t>12</w:t>
      </w:r>
      <w:r>
        <w:rPr>
          <w:rFonts w:ascii="仿宋_GB2312;仿宋" w:hAnsi="仿宋_GB2312;仿宋" w:cs="方正仿宋_GBK;Arial Unicode MS" w:eastAsia="仿宋_GB2312;仿宋"/>
          <w:kern w:val="0"/>
          <w:sz w:val="30"/>
          <w:szCs w:val="30"/>
          <w:lang w:val="zh-CN"/>
        </w:rPr>
        <w:t>）承办曲靖市人民政府、曲靖市人民政府食品安全委员会交办的其他事项。</w:t>
      </w:r>
    </w:p>
    <w:p>
      <w:pPr>
        <w:pStyle w:val="TextBody"/>
        <w:snapToGrid w:val="false"/>
        <w:spacing w:lineRule="exact" w:line="560" w:before="0" w:after="0"/>
        <w:ind w:firstLine="630"/>
        <w:rPr>
          <w:rFonts w:ascii="黑体;SimHei" w:hAnsi="黑体;SimHei" w:eastAsia="黑体;SimHei" w:cs="黑体;SimHei"/>
          <w:szCs w:val="30"/>
        </w:rPr>
      </w:pPr>
      <w:r>
        <w:rPr>
          <w:rFonts w:ascii="黑体;SimHei" w:hAnsi="黑体;SimHei" w:cs="黑体;SimHei" w:eastAsia="黑体;SimHei"/>
          <w:szCs w:val="30"/>
        </w:rPr>
        <w:t>（二）</w:t>
      </w:r>
      <w:r>
        <w:rPr>
          <w:rFonts w:eastAsia="黑体;SimHei" w:cs="黑体;SimHei" w:ascii="黑体;SimHei" w:hAnsi="黑体;SimHei"/>
          <w:szCs w:val="30"/>
        </w:rPr>
        <w:t>2017</w:t>
      </w:r>
      <w:r>
        <w:rPr>
          <w:rFonts w:ascii="黑体;SimHei" w:hAnsi="黑体;SimHei" w:cs="黑体;SimHei" w:eastAsia="黑体;SimHei"/>
          <w:szCs w:val="30"/>
        </w:rPr>
        <w:t>年重点工作任务</w:t>
      </w:r>
    </w:p>
    <w:p>
      <w:pPr>
        <w:pStyle w:val="Normal"/>
        <w:spacing w:lineRule="exact" w:line="560"/>
        <w:ind w:firstLine="600"/>
        <w:rPr/>
      </w:pPr>
      <w:r>
        <w:rPr>
          <w:rFonts w:ascii="仿宋_GB2312;仿宋" w:hAnsi="仿宋_GB2312;仿宋" w:cs="楷体" w:eastAsia="仿宋_GB2312;仿宋"/>
          <w:sz w:val="30"/>
          <w:szCs w:val="30"/>
        </w:rPr>
        <w:t>一是强化督导，狠抓党政同责责任落实。</w:t>
      </w:r>
      <w:r>
        <w:rPr>
          <w:rFonts w:ascii="仿宋_GB2312;仿宋" w:hAnsi="仿宋_GB2312;仿宋" w:eastAsia="仿宋_GB2312;仿宋"/>
          <w:color w:val="000000"/>
          <w:sz w:val="30"/>
          <w:szCs w:val="30"/>
        </w:rPr>
        <w:t>市委市政府把食品药品安全纳为对各县（市、区）委书记的量化考核指标，作为狠抓落实的重点督办工作，确保了全市食品药品安全工作责任精确传导、落实到位。充分发挥市政府食安办综合协调、督查督办、考核评价的职能作用，对照市“狠抓落实年”和市政府工作要点狠抓落实，依照《曲靖市食品药品安全党政同责地方政府负总责实施意见》、《曲靖市食品安全工作评议考核办法》、《曲靖市食品药品安全监督管理工作约谈及问责办法》和《</w:t>
      </w:r>
      <w:r>
        <w:rPr>
          <w:rFonts w:eastAsia="仿宋_GB2312;仿宋" w:ascii="仿宋_GB2312;仿宋" w:hAnsi="仿宋_GB2312;仿宋"/>
          <w:color w:val="000000"/>
          <w:sz w:val="30"/>
          <w:szCs w:val="30"/>
        </w:rPr>
        <w:t>2017</w:t>
      </w:r>
      <w:r>
        <w:rPr>
          <w:rFonts w:ascii="仿宋_GB2312;仿宋" w:hAnsi="仿宋_GB2312;仿宋" w:eastAsia="仿宋_GB2312;仿宋"/>
          <w:color w:val="000000"/>
          <w:sz w:val="30"/>
          <w:szCs w:val="30"/>
        </w:rPr>
        <w:t>年度县（市、区）综合考评实施细则》等相关规定，联合市综合督查室对各县（市、区）和相关市直部门食药安全工作落实情况进行跟踪督查和严格的考核评分，对部分县市区未完成创建工作目标任务、未落实食品检测工作经费、发生食品安全事故等进行了逐项扣分，通过严格的考核评价，确保党政同责、地方政府负总责、监管部门各负其责的责任体系落实到位。</w:t>
      </w:r>
    </w:p>
    <w:p>
      <w:pPr>
        <w:pStyle w:val="Normal"/>
        <w:spacing w:lineRule="exact" w:line="560"/>
        <w:ind w:firstLine="600"/>
        <w:rPr/>
      </w:pPr>
      <w:r>
        <w:rPr>
          <w:rFonts w:ascii="仿宋_GB2312;仿宋" w:hAnsi="仿宋_GB2312;仿宋" w:cs="楷体" w:eastAsia="仿宋_GB2312;仿宋"/>
          <w:sz w:val="30"/>
          <w:szCs w:val="30"/>
        </w:rPr>
        <w:t>二是狠抓风险严控，全面加强监督抽检和预防事故的工作。</w:t>
      </w:r>
      <w:r>
        <w:rPr>
          <w:rFonts w:ascii="仿宋_GB2312;仿宋" w:hAnsi="仿宋_GB2312;仿宋" w:eastAsia="仿宋_GB2312;仿宋"/>
          <w:color w:val="000000"/>
          <w:sz w:val="30"/>
          <w:szCs w:val="30"/>
        </w:rPr>
        <w:t>组织开展食品抽样检验、风险监测、定量检测</w:t>
      </w:r>
      <w:r>
        <w:rPr>
          <w:rFonts w:eastAsia="仿宋_GB2312;仿宋" w:ascii="仿宋_GB2312;仿宋" w:hAnsi="仿宋_GB2312;仿宋"/>
          <w:color w:val="000000"/>
          <w:sz w:val="30"/>
          <w:szCs w:val="30"/>
        </w:rPr>
        <w:t>26232</w:t>
      </w:r>
      <w:r>
        <w:rPr>
          <w:rFonts w:ascii="仿宋_GB2312;仿宋" w:hAnsi="仿宋_GB2312;仿宋" w:eastAsia="仿宋_GB2312;仿宋"/>
          <w:color w:val="000000"/>
          <w:sz w:val="30"/>
          <w:szCs w:val="30"/>
        </w:rPr>
        <w:t>批次，食品综合抽检合格率</w:t>
      </w:r>
      <w:r>
        <w:rPr>
          <w:rFonts w:eastAsia="仿宋_GB2312;仿宋" w:ascii="仿宋_GB2312;仿宋" w:hAnsi="仿宋_GB2312;仿宋"/>
          <w:color w:val="000000"/>
          <w:sz w:val="30"/>
          <w:szCs w:val="30"/>
        </w:rPr>
        <w:t>98.7%</w:t>
      </w:r>
      <w:r>
        <w:rPr>
          <w:rFonts w:ascii="仿宋_GB2312;仿宋" w:hAnsi="仿宋_GB2312;仿宋" w:eastAsia="仿宋_GB2312;仿宋"/>
          <w:color w:val="000000"/>
          <w:sz w:val="30"/>
          <w:szCs w:val="30"/>
        </w:rPr>
        <w:t>。认真开展“三项监测”，收集上报药品、医疗器械、化妆品不良反应报表</w:t>
      </w:r>
      <w:r>
        <w:rPr>
          <w:rFonts w:eastAsia="仿宋_GB2312;仿宋" w:ascii="仿宋_GB2312;仿宋" w:hAnsi="仿宋_GB2312;仿宋"/>
          <w:color w:val="000000"/>
          <w:sz w:val="30"/>
          <w:szCs w:val="30"/>
        </w:rPr>
        <w:t>6746</w:t>
      </w:r>
      <w:r>
        <w:rPr>
          <w:rFonts w:ascii="仿宋_GB2312;仿宋" w:hAnsi="仿宋_GB2312;仿宋" w:eastAsia="仿宋_GB2312;仿宋"/>
          <w:color w:val="000000"/>
          <w:sz w:val="30"/>
          <w:szCs w:val="30"/>
        </w:rPr>
        <w:t>份。紧盯问题易发的农村自办筵席、野生菌、草乌附子等区域和品种，抓细抓实预警、安全常识宣传、拉网式排查等事故防范措施，年内备案农村集体聚餐</w:t>
      </w:r>
      <w:r>
        <w:rPr>
          <w:rFonts w:eastAsia="仿宋_GB2312;仿宋" w:ascii="仿宋_GB2312;仿宋" w:hAnsi="仿宋_GB2312;仿宋"/>
          <w:color w:val="000000"/>
          <w:sz w:val="30"/>
          <w:szCs w:val="30"/>
        </w:rPr>
        <w:t>9753</w:t>
      </w:r>
      <w:r>
        <w:rPr>
          <w:rFonts w:ascii="仿宋_GB2312;仿宋" w:hAnsi="仿宋_GB2312;仿宋" w:eastAsia="仿宋_GB2312;仿宋"/>
          <w:color w:val="000000"/>
          <w:sz w:val="30"/>
          <w:szCs w:val="30"/>
        </w:rPr>
        <w:t>起，发布安全预警</w:t>
      </w:r>
      <w:r>
        <w:rPr>
          <w:rFonts w:eastAsia="仿宋_GB2312;仿宋" w:ascii="仿宋_GB2312;仿宋" w:hAnsi="仿宋_GB2312;仿宋"/>
          <w:color w:val="000000"/>
          <w:sz w:val="30"/>
          <w:szCs w:val="30"/>
        </w:rPr>
        <w:t>18</w:t>
      </w:r>
      <w:r>
        <w:rPr>
          <w:rFonts w:eastAsia="仿宋_GB2312;仿宋"/>
          <w:color w:val="000000"/>
          <w:sz w:val="30"/>
          <w:szCs w:val="30"/>
        </w:rPr>
        <w:t> </w:t>
      </w:r>
      <w:r>
        <w:rPr>
          <w:rFonts w:ascii="仿宋_GB2312;仿宋" w:hAnsi="仿宋_GB2312;仿宋" w:eastAsia="仿宋_GB2312;仿宋"/>
          <w:color w:val="000000"/>
          <w:sz w:val="30"/>
          <w:szCs w:val="30"/>
        </w:rPr>
        <w:t>期。在防范草乌、附子等毒性药材和食用野生菌中毒方面采取进村入户发放宣传资料、安全告知书、张贴科普画报、普发短信、与餐饮单位签订承诺书和责任书等方式，实现了食品经营场所事故零发生，群众安全意识明显增强，家庭自采自食野生菌中毒事件大幅下降。</w:t>
      </w:r>
    </w:p>
    <w:p>
      <w:pPr>
        <w:pStyle w:val="Normal"/>
        <w:spacing w:lineRule="exact" w:line="560"/>
        <w:ind w:firstLine="600"/>
        <w:rPr/>
      </w:pPr>
      <w:r>
        <w:rPr>
          <w:rFonts w:ascii="仿宋_GB2312;仿宋" w:hAnsi="仿宋_GB2312;仿宋" w:cs="楷体" w:eastAsia="仿宋_GB2312;仿宋"/>
          <w:sz w:val="30"/>
          <w:szCs w:val="30"/>
        </w:rPr>
        <w:t>三是强化监管整治和案件查办，狠抓严管严处。</w:t>
      </w:r>
      <w:r>
        <w:rPr>
          <w:rFonts w:ascii="仿宋_GB2312;仿宋" w:hAnsi="仿宋_GB2312;仿宋" w:eastAsia="仿宋_GB2312;仿宋"/>
          <w:sz w:val="30"/>
          <w:szCs w:val="30"/>
        </w:rPr>
        <w:t>在深入推进食品药品全过程、网格化责任到人的监管模式、对监管工作实行台账管理的同时，全面推行市级飞行检查、突击抽查，全年组织飞检</w:t>
      </w:r>
      <w:r>
        <w:rPr>
          <w:rFonts w:eastAsia="仿宋_GB2312;仿宋" w:ascii="仿宋_GB2312;仿宋" w:hAnsi="仿宋_GB2312;仿宋"/>
          <w:sz w:val="30"/>
          <w:szCs w:val="30"/>
        </w:rPr>
        <w:t>354</w:t>
      </w:r>
      <w:r>
        <w:rPr>
          <w:rFonts w:ascii="仿宋_GB2312;仿宋" w:hAnsi="仿宋_GB2312;仿宋" w:eastAsia="仿宋_GB2312;仿宋"/>
          <w:sz w:val="30"/>
          <w:szCs w:val="30"/>
        </w:rPr>
        <w:t>次，有效推进基层网格化监管责任落实。针对安全隐患相对突出的食品小作坊小摊贩等重点行业，糕点、散装白酒等重点品种，保健食品欺诈和虚假宣传、餐饮单位加工销售草乌附子等违法行为组织开展集中专项整治，及时消除安全风险。联合农业、教育、邮政等部门健全完善了食用农产品出产入市协作监管、学校食品安全联席会议、物流寄递食品药品监管等机制，进一步强化部门间协调联动；联合综治、检察、法院、公安等</w:t>
      </w:r>
      <w:r>
        <w:rPr>
          <w:rFonts w:eastAsia="仿宋_GB2312;仿宋" w:ascii="仿宋_GB2312;仿宋" w:hAnsi="仿宋_GB2312;仿宋"/>
          <w:sz w:val="30"/>
          <w:szCs w:val="30"/>
        </w:rPr>
        <w:t>11</w:t>
      </w:r>
      <w:r>
        <w:rPr>
          <w:rFonts w:ascii="仿宋_GB2312;仿宋" w:hAnsi="仿宋_GB2312;仿宋" w:eastAsia="仿宋_GB2312;仿宋"/>
          <w:sz w:val="30"/>
          <w:szCs w:val="30"/>
        </w:rPr>
        <w:t>个部门制定了《曲靖市食品药品行政执法与刑事司法衔接实施细则》并有效实施，不断完善联席会议、信息共享、专家咨询、协助认定、监督保障、案件督办等机制，对食品药品违法犯罪行为的打击形成了“严管、严查、严惩”的高压态势，实现行政处罚和刑事处罚无缝对接，年内，全市食品药品监管部门共检查巡查各类食品药品经营主体</w:t>
      </w:r>
      <w:r>
        <w:rPr>
          <w:rFonts w:eastAsia="仿宋_GB2312;仿宋" w:ascii="仿宋_GB2312;仿宋" w:hAnsi="仿宋_GB2312;仿宋"/>
          <w:sz w:val="30"/>
          <w:szCs w:val="30"/>
        </w:rPr>
        <w:t>84311</w:t>
      </w:r>
      <w:r>
        <w:rPr>
          <w:rFonts w:ascii="仿宋_GB2312;仿宋" w:hAnsi="仿宋_GB2312;仿宋" w:eastAsia="仿宋_GB2312;仿宋"/>
          <w:sz w:val="30"/>
          <w:szCs w:val="30"/>
        </w:rPr>
        <w:t>户（次），发现并督促整改安全隐患</w:t>
      </w:r>
      <w:r>
        <w:rPr>
          <w:rFonts w:eastAsia="仿宋_GB2312;仿宋" w:ascii="仿宋_GB2312;仿宋" w:hAnsi="仿宋_GB2312;仿宋"/>
          <w:sz w:val="30"/>
          <w:szCs w:val="30"/>
        </w:rPr>
        <w:t>6995</w:t>
      </w:r>
      <w:r>
        <w:rPr>
          <w:rFonts w:ascii="仿宋_GB2312;仿宋" w:hAnsi="仿宋_GB2312;仿宋" w:eastAsia="仿宋_GB2312;仿宋"/>
          <w:sz w:val="30"/>
          <w:szCs w:val="30"/>
        </w:rPr>
        <w:t>条，查处食品药品违法违规案件</w:t>
      </w:r>
      <w:r>
        <w:rPr>
          <w:rFonts w:eastAsia="仿宋_GB2312;仿宋" w:ascii="仿宋_GB2312;仿宋" w:hAnsi="仿宋_GB2312;仿宋"/>
          <w:sz w:val="30"/>
          <w:szCs w:val="30"/>
        </w:rPr>
        <w:t>1381</w:t>
      </w:r>
      <w:r>
        <w:rPr>
          <w:rFonts w:ascii="仿宋_GB2312;仿宋" w:hAnsi="仿宋_GB2312;仿宋" w:eastAsia="仿宋_GB2312;仿宋"/>
          <w:sz w:val="30"/>
          <w:szCs w:val="30"/>
        </w:rPr>
        <w:t>件，食品药品刑事案件立案</w:t>
      </w:r>
      <w:r>
        <w:rPr>
          <w:rFonts w:eastAsia="仿宋_GB2312;仿宋" w:ascii="仿宋_GB2312;仿宋" w:hAnsi="仿宋_GB2312;仿宋"/>
          <w:sz w:val="30"/>
          <w:szCs w:val="30"/>
        </w:rPr>
        <w:t>27</w:t>
      </w:r>
      <w:r>
        <w:rPr>
          <w:rFonts w:ascii="仿宋_GB2312;仿宋" w:hAnsi="仿宋_GB2312;仿宋" w:eastAsia="仿宋_GB2312;仿宋"/>
          <w:sz w:val="30"/>
          <w:szCs w:val="30"/>
        </w:rPr>
        <w:t>起，抓获犯罪嫌疑人</w:t>
      </w:r>
      <w:r>
        <w:rPr>
          <w:rFonts w:eastAsia="仿宋_GB2312;仿宋" w:ascii="仿宋_GB2312;仿宋" w:hAnsi="仿宋_GB2312;仿宋"/>
          <w:sz w:val="30"/>
          <w:szCs w:val="30"/>
        </w:rPr>
        <w:t>20</w:t>
      </w:r>
      <w:r>
        <w:rPr>
          <w:rFonts w:ascii="仿宋_GB2312;仿宋" w:hAnsi="仿宋_GB2312;仿宋" w:eastAsia="仿宋_GB2312;仿宋"/>
          <w:sz w:val="30"/>
          <w:szCs w:val="30"/>
        </w:rPr>
        <w:t>人。圆满完成“世界铁人三项赛”、“国际蓝莓大会”等重大活动食品安全保障任务</w:t>
      </w:r>
      <w:r>
        <w:rPr>
          <w:rFonts w:eastAsia="仿宋_GB2312;仿宋" w:ascii="仿宋_GB2312;仿宋" w:hAnsi="仿宋_GB2312;仿宋"/>
          <w:sz w:val="30"/>
          <w:szCs w:val="30"/>
        </w:rPr>
        <w:t>25</w:t>
      </w:r>
      <w:r>
        <w:rPr>
          <w:rFonts w:ascii="仿宋_GB2312;仿宋" w:hAnsi="仿宋_GB2312;仿宋" w:eastAsia="仿宋_GB2312;仿宋"/>
          <w:sz w:val="30"/>
          <w:szCs w:val="30"/>
        </w:rPr>
        <w:t>起。</w:t>
      </w:r>
    </w:p>
    <w:p>
      <w:pPr>
        <w:pStyle w:val="Normal"/>
        <w:spacing w:lineRule="exact" w:line="560"/>
        <w:ind w:firstLine="600"/>
        <w:rPr/>
      </w:pPr>
      <w:r>
        <w:rPr>
          <w:rFonts w:ascii="仿宋_GB2312;仿宋" w:hAnsi="仿宋_GB2312;仿宋" w:cs="楷体" w:eastAsia="仿宋_GB2312;仿宋"/>
          <w:sz w:val="30"/>
          <w:szCs w:val="30"/>
        </w:rPr>
        <w:t>四是基层安全示范创建持续深入推进。</w:t>
      </w:r>
      <w:r>
        <w:rPr>
          <w:rFonts w:ascii="仿宋_GB2312;仿宋" w:hAnsi="仿宋_GB2312;仿宋" w:eastAsia="仿宋_GB2312;仿宋"/>
          <w:sz w:val="30"/>
          <w:szCs w:val="30"/>
        </w:rPr>
        <w:t>坚持产管并重，协同相关职能部门积极推进各县（市、区）基层示范创建工作，并把食品“三小”的综合整治和规范提升作为食品安全补短板的重中之重，大力推进食品生产加工小作坊园区、食用农产品交易市场、食品摊贩集中经营区建设，努力提升本质安全度。麒麟、马龙、师宗农产品质量安全县创建已通过省级验收并列为国家级农产品质量安全县创建范围，沾益区省级农产品质量安全县、马龙县有机农业示范县等创建深入推进。全市</w:t>
      </w:r>
      <w:r>
        <w:rPr>
          <w:rFonts w:eastAsia="仿宋_GB2312;仿宋" w:ascii="仿宋_GB2312;仿宋" w:hAnsi="仿宋_GB2312;仿宋"/>
          <w:sz w:val="30"/>
          <w:szCs w:val="30"/>
        </w:rPr>
        <w:t>21</w:t>
      </w:r>
      <w:r>
        <w:rPr>
          <w:rFonts w:ascii="仿宋_GB2312;仿宋" w:hAnsi="仿宋_GB2312;仿宋" w:eastAsia="仿宋_GB2312;仿宋"/>
          <w:sz w:val="30"/>
          <w:szCs w:val="30"/>
        </w:rPr>
        <w:t>家“放心肉菜示范超市”创建稳步推进，其中列为国家级创建的</w:t>
      </w:r>
      <w:r>
        <w:rPr>
          <w:rFonts w:eastAsia="仿宋_GB2312;仿宋" w:ascii="仿宋_GB2312;仿宋" w:hAnsi="仿宋_GB2312;仿宋"/>
          <w:sz w:val="30"/>
          <w:szCs w:val="30"/>
        </w:rPr>
        <w:t>6</w:t>
      </w:r>
      <w:r>
        <w:rPr>
          <w:rFonts w:ascii="仿宋_GB2312;仿宋" w:hAnsi="仿宋_GB2312;仿宋" w:eastAsia="仿宋_GB2312;仿宋"/>
          <w:sz w:val="30"/>
          <w:szCs w:val="30"/>
        </w:rPr>
        <w:t>家超市已通过省初验。第二批</w:t>
      </w:r>
      <w:r>
        <w:rPr>
          <w:rFonts w:eastAsia="仿宋_GB2312;仿宋" w:ascii="仿宋_GB2312;仿宋" w:hAnsi="仿宋_GB2312;仿宋"/>
          <w:sz w:val="30"/>
          <w:szCs w:val="30"/>
        </w:rPr>
        <w:t>68</w:t>
      </w:r>
      <w:r>
        <w:rPr>
          <w:rFonts w:ascii="仿宋_GB2312;仿宋" w:hAnsi="仿宋_GB2312;仿宋" w:eastAsia="仿宋_GB2312;仿宋"/>
          <w:sz w:val="30"/>
          <w:szCs w:val="30"/>
        </w:rPr>
        <w:t>个市级食品药品安全乡镇通过验收命名，全市目前共有</w:t>
      </w:r>
      <w:r>
        <w:rPr>
          <w:rFonts w:eastAsia="仿宋_GB2312;仿宋" w:ascii="仿宋_GB2312;仿宋" w:hAnsi="仿宋_GB2312;仿宋"/>
          <w:sz w:val="30"/>
          <w:szCs w:val="30"/>
        </w:rPr>
        <w:t>108</w:t>
      </w:r>
      <w:r>
        <w:rPr>
          <w:rFonts w:ascii="仿宋_GB2312;仿宋" w:hAnsi="仿宋_GB2312;仿宋" w:eastAsia="仿宋_GB2312;仿宋"/>
          <w:sz w:val="30"/>
          <w:szCs w:val="30"/>
        </w:rPr>
        <w:t>个乡镇创建为市级食品药品安全乡镇。</w:t>
      </w:r>
      <w:r>
        <w:rPr>
          <w:rFonts w:eastAsia="仿宋_GB2312;仿宋" w:ascii="仿宋_GB2312;仿宋" w:hAnsi="仿宋_GB2312;仿宋"/>
          <w:sz w:val="30"/>
          <w:szCs w:val="30"/>
        </w:rPr>
        <w:t>9623</w:t>
      </w:r>
      <w:r>
        <w:rPr>
          <w:rFonts w:ascii="仿宋_GB2312;仿宋" w:hAnsi="仿宋_GB2312;仿宋" w:eastAsia="仿宋_GB2312;仿宋"/>
          <w:sz w:val="30"/>
          <w:szCs w:val="30"/>
        </w:rPr>
        <w:t>户餐饮单位实现“明厨亮灶”，</w:t>
      </w:r>
      <w:r>
        <w:rPr>
          <w:rFonts w:eastAsia="仿宋_GB2312;仿宋" w:ascii="仿宋_GB2312;仿宋" w:hAnsi="仿宋_GB2312;仿宋"/>
          <w:sz w:val="30"/>
          <w:szCs w:val="30"/>
        </w:rPr>
        <w:t>16958</w:t>
      </w:r>
      <w:r>
        <w:rPr>
          <w:rFonts w:ascii="仿宋_GB2312;仿宋" w:hAnsi="仿宋_GB2312;仿宋" w:eastAsia="仿宋_GB2312;仿宋"/>
          <w:sz w:val="30"/>
          <w:szCs w:val="30"/>
        </w:rPr>
        <w:t>户餐饮单位及学校食堂全部完成动态评定。</w:t>
      </w:r>
    </w:p>
    <w:p>
      <w:pPr>
        <w:pStyle w:val="Normal"/>
        <w:spacing w:lineRule="exact" w:line="560"/>
        <w:ind w:firstLine="600"/>
        <w:rPr/>
      </w:pPr>
      <w:r>
        <w:rPr>
          <w:rFonts w:ascii="仿宋_GB2312;仿宋" w:hAnsi="仿宋_GB2312;仿宋" w:cs="楷体" w:eastAsia="仿宋_GB2312;仿宋"/>
          <w:sz w:val="30"/>
          <w:szCs w:val="30"/>
        </w:rPr>
        <w:t>五是项目建设稳步推进，监管能力明显提升。</w:t>
      </w:r>
      <w:r>
        <w:rPr>
          <w:rFonts w:ascii="仿宋_GB2312;仿宋" w:hAnsi="仿宋_GB2312;仿宋" w:eastAsia="仿宋_GB2312;仿宋"/>
          <w:sz w:val="30"/>
          <w:szCs w:val="30"/>
        </w:rPr>
        <w:t>市政府与云南出入境检验检疫局联合共建的食品检验检测实验室建成并投入使用，食品检验能力从</w:t>
      </w:r>
      <w:r>
        <w:rPr>
          <w:rFonts w:eastAsia="仿宋_GB2312;仿宋" w:ascii="仿宋_GB2312;仿宋" w:hAnsi="仿宋_GB2312;仿宋"/>
          <w:sz w:val="30"/>
          <w:szCs w:val="30"/>
        </w:rPr>
        <w:t>24</w:t>
      </w:r>
      <w:r>
        <w:rPr>
          <w:rFonts w:ascii="仿宋_GB2312;仿宋" w:hAnsi="仿宋_GB2312;仿宋" w:eastAsia="仿宋_GB2312;仿宋"/>
          <w:sz w:val="30"/>
          <w:szCs w:val="30"/>
        </w:rPr>
        <w:t>类</w:t>
      </w:r>
      <w:r>
        <w:rPr>
          <w:rFonts w:eastAsia="仿宋_GB2312;仿宋" w:ascii="仿宋_GB2312;仿宋" w:hAnsi="仿宋_GB2312;仿宋"/>
          <w:sz w:val="30"/>
          <w:szCs w:val="30"/>
        </w:rPr>
        <w:t>505</w:t>
      </w:r>
      <w:r>
        <w:rPr>
          <w:rFonts w:ascii="仿宋_GB2312;仿宋" w:hAnsi="仿宋_GB2312;仿宋" w:eastAsia="仿宋_GB2312;仿宋"/>
          <w:sz w:val="30"/>
          <w:szCs w:val="30"/>
        </w:rPr>
        <w:t>项扩展到</w:t>
      </w:r>
      <w:r>
        <w:rPr>
          <w:rFonts w:eastAsia="仿宋_GB2312;仿宋" w:ascii="仿宋_GB2312;仿宋" w:hAnsi="仿宋_GB2312;仿宋"/>
          <w:sz w:val="30"/>
          <w:szCs w:val="30"/>
        </w:rPr>
        <w:t>33</w:t>
      </w:r>
      <w:r>
        <w:rPr>
          <w:rFonts w:ascii="仿宋_GB2312;仿宋" w:hAnsi="仿宋_GB2312;仿宋" w:eastAsia="仿宋_GB2312;仿宋"/>
          <w:sz w:val="30"/>
          <w:szCs w:val="30"/>
        </w:rPr>
        <w:t>类</w:t>
      </w:r>
      <w:r>
        <w:rPr>
          <w:rFonts w:eastAsia="仿宋_GB2312;仿宋" w:ascii="仿宋_GB2312;仿宋" w:hAnsi="仿宋_GB2312;仿宋"/>
          <w:sz w:val="30"/>
          <w:szCs w:val="30"/>
        </w:rPr>
        <w:t>1105</w:t>
      </w:r>
      <w:r>
        <w:rPr>
          <w:rFonts w:ascii="仿宋_GB2312;仿宋" w:hAnsi="仿宋_GB2312;仿宋" w:eastAsia="仿宋_GB2312;仿宋"/>
          <w:sz w:val="30"/>
          <w:szCs w:val="30"/>
        </w:rPr>
        <w:t>项，承接食品检验从年均</w:t>
      </w:r>
      <w:r>
        <w:rPr>
          <w:rFonts w:eastAsia="仿宋_GB2312;仿宋" w:ascii="仿宋_GB2312;仿宋" w:hAnsi="仿宋_GB2312;仿宋"/>
          <w:sz w:val="30"/>
          <w:szCs w:val="30"/>
        </w:rPr>
        <w:t>3000</w:t>
      </w:r>
      <w:r>
        <w:rPr>
          <w:rFonts w:ascii="仿宋_GB2312;仿宋" w:hAnsi="仿宋_GB2312;仿宋" w:eastAsia="仿宋_GB2312;仿宋"/>
          <w:sz w:val="30"/>
          <w:szCs w:val="30"/>
        </w:rPr>
        <w:t>件扩增到年均</w:t>
      </w:r>
      <w:r>
        <w:rPr>
          <w:rFonts w:eastAsia="仿宋_GB2312;仿宋" w:ascii="仿宋_GB2312;仿宋" w:hAnsi="仿宋_GB2312;仿宋"/>
          <w:sz w:val="30"/>
          <w:szCs w:val="30"/>
        </w:rPr>
        <w:t>15000</w:t>
      </w:r>
      <w:r>
        <w:rPr>
          <w:rFonts w:ascii="仿宋_GB2312;仿宋" w:hAnsi="仿宋_GB2312;仿宋" w:eastAsia="仿宋_GB2312;仿宋"/>
          <w:sz w:val="30"/>
          <w:szCs w:val="30"/>
        </w:rPr>
        <w:t>件，承检能力和技术水平大幅提升；市食品药品检验检测中心食品安全检（监）测能力建设项目主体工程建设基本完成，正进入实验室内部装修和设备安装阶段，预计</w:t>
      </w:r>
      <w:r>
        <w:rPr>
          <w:rFonts w:eastAsia="仿宋_GB2312;仿宋" w:ascii="仿宋_GB2312;仿宋" w:hAnsi="仿宋_GB2312;仿宋"/>
          <w:sz w:val="30"/>
          <w:szCs w:val="30"/>
        </w:rPr>
        <w:t>2018</w:t>
      </w:r>
      <w:r>
        <w:rPr>
          <w:rFonts w:ascii="仿宋_GB2312;仿宋" w:hAnsi="仿宋_GB2312;仿宋" w:eastAsia="仿宋_GB2312;仿宋"/>
          <w:sz w:val="30"/>
          <w:szCs w:val="30"/>
        </w:rPr>
        <w:t>年下半年投入使用；</w:t>
      </w:r>
      <w:r>
        <w:rPr>
          <w:rFonts w:eastAsia="仿宋_GB2312;仿宋" w:ascii="仿宋_GB2312;仿宋" w:hAnsi="仿宋_GB2312;仿宋"/>
          <w:sz w:val="30"/>
          <w:szCs w:val="30"/>
        </w:rPr>
        <w:t>9</w:t>
      </w:r>
      <w:r>
        <w:rPr>
          <w:rFonts w:ascii="仿宋_GB2312;仿宋" w:hAnsi="仿宋_GB2312;仿宋" w:eastAsia="仿宋_GB2312;仿宋"/>
          <w:sz w:val="30"/>
          <w:szCs w:val="30"/>
        </w:rPr>
        <w:t>个县级食品快速检验车已经配备到位；积极推进监管手段创新，全面启动以企业数据、产品数据、监管数据为要素的“智慧</w:t>
      </w:r>
      <w:r>
        <w:rPr>
          <w:rFonts w:eastAsia="仿宋_GB2312;仿宋" w:ascii="仿宋_GB2312;仿宋" w:hAnsi="仿宋_GB2312;仿宋"/>
          <w:sz w:val="30"/>
          <w:szCs w:val="30"/>
        </w:rPr>
        <w:t>+</w:t>
      </w:r>
      <w:r>
        <w:rPr>
          <w:rFonts w:ascii="仿宋_GB2312;仿宋" w:hAnsi="仿宋_GB2312;仿宋" w:eastAsia="仿宋_GB2312;仿宋"/>
          <w:sz w:val="30"/>
          <w:szCs w:val="30"/>
        </w:rPr>
        <w:t>食品药品监管”项目建设，促进监管工作提质增效。</w:t>
      </w:r>
    </w:p>
    <w:p>
      <w:pPr>
        <w:pStyle w:val="Normal"/>
        <w:spacing w:lineRule="exact" w:line="560"/>
        <w:ind w:firstLine="600"/>
        <w:rPr/>
      </w:pPr>
      <w:r>
        <w:rPr>
          <w:rFonts w:ascii="仿宋_GB2312;仿宋" w:hAnsi="仿宋_GB2312;仿宋" w:cs="楷体" w:eastAsia="仿宋_GB2312;仿宋"/>
          <w:sz w:val="30"/>
          <w:szCs w:val="30"/>
        </w:rPr>
        <w:t>六是社会共治格局取得新进展。</w:t>
      </w:r>
      <w:r>
        <w:rPr>
          <w:rFonts w:ascii="仿宋_GB2312;仿宋" w:hAnsi="仿宋_GB2312;仿宋" w:eastAsia="仿宋_GB2312;仿宋"/>
          <w:sz w:val="30"/>
          <w:szCs w:val="30"/>
        </w:rPr>
        <w:t>食品安全宣传阵地进一步拓展，开展了食品安全法规竞赛和食品安全标准技能竞赛，以及“尚德守法共治共享食品安全”主题宣传周、“食品安全我承诺我负责”等活动，为构建社会共治格局营造良好氛围；定期向人大代表、政协委员和社会监督员报告工作，畅通信息沟通渠道、形成共识、凝聚正能量、调动社会各方面建言献策；不断加大信息公开力度，主动接受社会监督，本地主流媒体食药安全宣传专栏和“食安曲靖”微信公众号累计播放宣传片和公益广告近</w:t>
      </w:r>
      <w:r>
        <w:rPr>
          <w:rFonts w:eastAsia="仿宋_GB2312;仿宋" w:ascii="仿宋_GB2312;仿宋" w:hAnsi="仿宋_GB2312;仿宋"/>
          <w:sz w:val="30"/>
          <w:szCs w:val="30"/>
        </w:rPr>
        <w:t>700</w:t>
      </w:r>
      <w:r>
        <w:rPr>
          <w:rFonts w:ascii="仿宋_GB2312;仿宋" w:hAnsi="仿宋_GB2312;仿宋" w:eastAsia="仿宋_GB2312;仿宋"/>
          <w:sz w:val="30"/>
          <w:szCs w:val="30"/>
        </w:rPr>
        <w:t>分钟，点击量</w:t>
      </w:r>
      <w:r>
        <w:rPr>
          <w:rFonts w:eastAsia="仿宋_GB2312;仿宋" w:ascii="仿宋_GB2312;仿宋" w:hAnsi="仿宋_GB2312;仿宋"/>
          <w:sz w:val="30"/>
          <w:szCs w:val="30"/>
        </w:rPr>
        <w:t>62.1</w:t>
      </w:r>
      <w:r>
        <w:rPr>
          <w:rFonts w:ascii="仿宋_GB2312;仿宋" w:hAnsi="仿宋_GB2312;仿宋" w:eastAsia="仿宋_GB2312;仿宋"/>
          <w:sz w:val="30"/>
          <w:szCs w:val="30"/>
        </w:rPr>
        <w:t>万余次。全面公开监管信息，发布各类监管信息</w:t>
      </w:r>
      <w:r>
        <w:rPr>
          <w:rFonts w:eastAsia="仿宋_GB2312;仿宋" w:ascii="仿宋_GB2312;仿宋" w:hAnsi="仿宋_GB2312;仿宋"/>
          <w:sz w:val="30"/>
          <w:szCs w:val="30"/>
        </w:rPr>
        <w:t>800</w:t>
      </w:r>
      <w:r>
        <w:rPr>
          <w:rFonts w:ascii="仿宋_GB2312;仿宋" w:hAnsi="仿宋_GB2312;仿宋" w:eastAsia="仿宋_GB2312;仿宋"/>
          <w:sz w:val="30"/>
          <w:szCs w:val="30"/>
        </w:rPr>
        <w:t>余条，发布抽检信息</w:t>
      </w:r>
      <w:r>
        <w:rPr>
          <w:rFonts w:eastAsia="仿宋_GB2312;仿宋" w:ascii="仿宋_GB2312;仿宋" w:hAnsi="仿宋_GB2312;仿宋"/>
          <w:sz w:val="30"/>
          <w:szCs w:val="30"/>
        </w:rPr>
        <w:t>338</w:t>
      </w:r>
      <w:r>
        <w:rPr>
          <w:rFonts w:ascii="仿宋_GB2312;仿宋" w:hAnsi="仿宋_GB2312;仿宋" w:eastAsia="仿宋_GB2312;仿宋"/>
          <w:sz w:val="30"/>
          <w:szCs w:val="30"/>
        </w:rPr>
        <w:t>期，公示</w:t>
      </w:r>
      <w:r>
        <w:rPr>
          <w:rFonts w:eastAsia="仿宋_GB2312;仿宋" w:ascii="仿宋_GB2312;仿宋" w:hAnsi="仿宋_GB2312;仿宋"/>
          <w:sz w:val="30"/>
          <w:szCs w:val="30"/>
        </w:rPr>
        <w:t>506</w:t>
      </w:r>
      <w:r>
        <w:rPr>
          <w:rFonts w:ascii="仿宋_GB2312;仿宋" w:hAnsi="仿宋_GB2312;仿宋" w:eastAsia="仿宋_GB2312;仿宋"/>
          <w:sz w:val="30"/>
          <w:szCs w:val="30"/>
        </w:rPr>
        <w:t>批次不合格产品，发放宣传海报、知识手册</w:t>
      </w:r>
      <w:r>
        <w:rPr>
          <w:rFonts w:eastAsia="仿宋_GB2312;仿宋" w:ascii="仿宋_GB2312;仿宋" w:hAnsi="仿宋_GB2312;仿宋"/>
          <w:sz w:val="30"/>
          <w:szCs w:val="30"/>
        </w:rPr>
        <w:t>20</w:t>
      </w:r>
      <w:r>
        <w:rPr>
          <w:rFonts w:ascii="仿宋_GB2312;仿宋" w:hAnsi="仿宋_GB2312;仿宋" w:eastAsia="仿宋_GB2312;仿宋"/>
          <w:sz w:val="30"/>
          <w:szCs w:val="30"/>
        </w:rPr>
        <w:t>万余份，接待咨询</w:t>
      </w:r>
      <w:r>
        <w:rPr>
          <w:rFonts w:eastAsia="仿宋_GB2312;仿宋" w:ascii="仿宋_GB2312;仿宋" w:hAnsi="仿宋_GB2312;仿宋"/>
          <w:sz w:val="30"/>
          <w:szCs w:val="30"/>
        </w:rPr>
        <w:t>1.5</w:t>
      </w:r>
      <w:r>
        <w:rPr>
          <w:rFonts w:ascii="仿宋_GB2312;仿宋" w:hAnsi="仿宋_GB2312;仿宋" w:eastAsia="仿宋_GB2312;仿宋"/>
          <w:sz w:val="30"/>
          <w:szCs w:val="30"/>
        </w:rPr>
        <w:t>万余人，及时回应群众关切。“</w:t>
      </w:r>
      <w:r>
        <w:rPr>
          <w:rFonts w:eastAsia="仿宋_GB2312;仿宋" w:ascii="仿宋_GB2312;仿宋" w:hAnsi="仿宋_GB2312;仿宋"/>
          <w:sz w:val="30"/>
          <w:szCs w:val="30"/>
        </w:rPr>
        <w:t>12331”</w:t>
      </w:r>
      <w:r>
        <w:rPr>
          <w:rFonts w:ascii="仿宋_GB2312;仿宋" w:hAnsi="仿宋_GB2312;仿宋" w:eastAsia="仿宋_GB2312;仿宋"/>
          <w:sz w:val="30"/>
          <w:szCs w:val="30"/>
        </w:rPr>
        <w:t>投诉举报平台受理投诉举报、咨询、建议</w:t>
      </w:r>
      <w:r>
        <w:rPr>
          <w:rFonts w:eastAsia="仿宋_GB2312;仿宋" w:ascii="仿宋_GB2312;仿宋" w:hAnsi="仿宋_GB2312;仿宋"/>
          <w:sz w:val="30"/>
          <w:szCs w:val="30"/>
        </w:rPr>
        <w:t>535</w:t>
      </w:r>
      <w:r>
        <w:rPr>
          <w:rFonts w:ascii="仿宋_GB2312;仿宋" w:hAnsi="仿宋_GB2312;仿宋" w:eastAsia="仿宋_GB2312;仿宋"/>
          <w:sz w:val="30"/>
          <w:szCs w:val="30"/>
        </w:rPr>
        <w:t>件，办结率</w:t>
      </w:r>
      <w:r>
        <w:rPr>
          <w:rFonts w:eastAsia="仿宋_GB2312;仿宋" w:ascii="仿宋_GB2312;仿宋" w:hAnsi="仿宋_GB2312;仿宋"/>
          <w:sz w:val="30"/>
          <w:szCs w:val="30"/>
        </w:rPr>
        <w:t>98%</w:t>
      </w:r>
      <w:r>
        <w:rPr>
          <w:rFonts w:ascii="仿宋_GB2312;仿宋" w:hAnsi="仿宋_GB2312;仿宋" w:eastAsia="仿宋_GB2312;仿宋"/>
          <w:sz w:val="30"/>
          <w:szCs w:val="30"/>
        </w:rPr>
        <w:t>，群众满意率</w:t>
      </w:r>
      <w:r>
        <w:rPr>
          <w:rFonts w:eastAsia="仿宋_GB2312;仿宋" w:ascii="仿宋_GB2312;仿宋" w:hAnsi="仿宋_GB2312;仿宋"/>
          <w:sz w:val="30"/>
          <w:szCs w:val="30"/>
        </w:rPr>
        <w:t>100%</w:t>
      </w:r>
      <w:r>
        <w:rPr>
          <w:rFonts w:ascii="仿宋_GB2312;仿宋" w:hAnsi="仿宋_GB2312;仿宋" w:eastAsia="仿宋_GB2312;仿宋"/>
          <w:sz w:val="30"/>
          <w:szCs w:val="30"/>
        </w:rPr>
        <w:t>。委托国家统计局曲靖调查队开展了</w:t>
      </w:r>
      <w:r>
        <w:rPr>
          <w:rFonts w:eastAsia="仿宋_GB2312;仿宋" w:ascii="仿宋_GB2312;仿宋" w:hAnsi="仿宋_GB2312;仿宋"/>
          <w:sz w:val="30"/>
          <w:szCs w:val="30"/>
        </w:rPr>
        <w:t>2017</w:t>
      </w:r>
      <w:r>
        <w:rPr>
          <w:rFonts w:ascii="仿宋_GB2312;仿宋" w:hAnsi="仿宋_GB2312;仿宋" w:eastAsia="仿宋_GB2312;仿宋"/>
          <w:sz w:val="30"/>
          <w:szCs w:val="30"/>
        </w:rPr>
        <w:t>年第一次食品安全状况满意度调查，公众对食品安全的满意率、基本满意率达</w:t>
      </w:r>
      <w:r>
        <w:rPr>
          <w:rFonts w:eastAsia="仿宋_GB2312;仿宋" w:ascii="仿宋_GB2312;仿宋" w:hAnsi="仿宋_GB2312;仿宋"/>
          <w:sz w:val="30"/>
          <w:szCs w:val="30"/>
        </w:rPr>
        <w:t>90.8%</w:t>
      </w:r>
      <w:r>
        <w:rPr>
          <w:rFonts w:ascii="仿宋_GB2312;仿宋" w:hAnsi="仿宋_GB2312;仿宋" w:eastAsia="仿宋_GB2312;仿宋"/>
          <w:sz w:val="30"/>
          <w:szCs w:val="30"/>
        </w:rPr>
        <w:t>。</w:t>
      </w:r>
    </w:p>
    <w:p>
      <w:pPr>
        <w:pStyle w:val="Normal"/>
        <w:spacing w:lineRule="exact" w:line="560"/>
        <w:ind w:firstLine="600"/>
        <w:rPr/>
      </w:pPr>
      <w:r>
        <w:rPr>
          <w:rFonts w:ascii="仿宋_GB2312;仿宋" w:hAnsi="仿宋_GB2312;仿宋" w:cs="楷体" w:eastAsia="仿宋_GB2312;仿宋"/>
          <w:sz w:val="30"/>
          <w:szCs w:val="30"/>
        </w:rPr>
        <w:t>七是努力提高依法行政能力。</w:t>
      </w:r>
      <w:r>
        <w:rPr>
          <w:rFonts w:ascii="仿宋_GB2312;仿宋" w:hAnsi="仿宋_GB2312;仿宋" w:eastAsia="仿宋_GB2312;仿宋"/>
          <w:sz w:val="30"/>
          <w:szCs w:val="30"/>
        </w:rPr>
        <w:t>把树立牢固的法治理念，清醒的法治思维，培养与职能任务相匹配的法治能力作为推进食品药品安全治理体系和治理能力现代化的重要前提，通过制定年度学法计划，持续开展执法培训，举办“法治之路</w:t>
      </w:r>
      <w:r>
        <w:rPr>
          <w:rFonts w:eastAsia="仿宋_GB2312;仿宋" w:ascii="仿宋_GB2312;仿宋" w:hAnsi="仿宋_GB2312;仿宋"/>
          <w:sz w:val="30"/>
          <w:szCs w:val="30"/>
        </w:rPr>
        <w:t>·</w:t>
      </w:r>
      <w:r>
        <w:rPr>
          <w:rFonts w:ascii="仿宋_GB2312;仿宋" w:hAnsi="仿宋_GB2312;仿宋" w:eastAsia="仿宋_GB2312;仿宋"/>
          <w:sz w:val="30"/>
          <w:szCs w:val="30"/>
        </w:rPr>
        <w:t>食安曲靖”食品安全法律知识竞赛、依托合议委员会合议重大行政处罚案件等一系列制度措施，着力提升依法行政能力，推进食药安全依法治理。市食药监管局在全市行政执法案卷评查中名列前茅，全局“干部在线学法系统”学法用法考试参考率和合格率达</w:t>
      </w:r>
      <w:r>
        <w:rPr>
          <w:rFonts w:eastAsia="仿宋_GB2312;仿宋" w:ascii="仿宋_GB2312;仿宋" w:hAnsi="仿宋_GB2312;仿宋"/>
          <w:sz w:val="30"/>
          <w:szCs w:val="30"/>
        </w:rPr>
        <w:t>100%</w:t>
      </w:r>
      <w:r>
        <w:rPr>
          <w:rFonts w:ascii="仿宋_GB2312;仿宋" w:hAnsi="仿宋_GB2312;仿宋" w:eastAsia="仿宋_GB2312;仿宋"/>
          <w:sz w:val="30"/>
          <w:szCs w:val="30"/>
        </w:rPr>
        <w:t>。坚持问题导向，严格落实 “谁执法谁普法”要求，夯实普法责任，围绕提升基层执法人员依法行政能力，以食品抽检、药品监管、应急管理、农村自办宴席管理等内容组织开展了</w:t>
      </w:r>
      <w:r>
        <w:rPr>
          <w:rFonts w:eastAsia="仿宋_GB2312;仿宋" w:ascii="仿宋_GB2312;仿宋" w:hAnsi="仿宋_GB2312;仿宋"/>
          <w:sz w:val="30"/>
          <w:szCs w:val="30"/>
        </w:rPr>
        <w:t>12</w:t>
      </w:r>
      <w:r>
        <w:rPr>
          <w:rFonts w:ascii="仿宋_GB2312;仿宋" w:hAnsi="仿宋_GB2312;仿宋" w:eastAsia="仿宋_GB2312;仿宋"/>
          <w:sz w:val="30"/>
          <w:szCs w:val="30"/>
        </w:rPr>
        <w:t>期业务培训，培训监管执法人员</w:t>
      </w:r>
      <w:r>
        <w:rPr>
          <w:rFonts w:eastAsia="仿宋_GB2312;仿宋" w:ascii="仿宋_GB2312;仿宋" w:hAnsi="仿宋_GB2312;仿宋"/>
          <w:sz w:val="30"/>
          <w:szCs w:val="30"/>
        </w:rPr>
        <w:t>800</w:t>
      </w:r>
      <w:r>
        <w:rPr>
          <w:rFonts w:ascii="仿宋_GB2312;仿宋" w:hAnsi="仿宋_GB2312;仿宋" w:eastAsia="仿宋_GB2312;仿宋"/>
          <w:sz w:val="30"/>
          <w:szCs w:val="30"/>
        </w:rPr>
        <w:t>余人次。同时，安排机关业务骨干支持各县</w:t>
      </w:r>
      <w:r>
        <w:rPr>
          <w:rFonts w:eastAsia="仿宋_GB2312;仿宋" w:ascii="仿宋_GB2312;仿宋" w:hAnsi="仿宋_GB2312;仿宋"/>
          <w:sz w:val="30"/>
          <w:szCs w:val="30"/>
        </w:rPr>
        <w:t>(</w:t>
      </w:r>
      <w:r>
        <w:rPr>
          <w:rFonts w:ascii="仿宋_GB2312;仿宋" w:hAnsi="仿宋_GB2312;仿宋" w:eastAsia="仿宋_GB2312;仿宋"/>
          <w:sz w:val="30"/>
          <w:szCs w:val="30"/>
        </w:rPr>
        <w:t>市、区</w:t>
      </w:r>
      <w:r>
        <w:rPr>
          <w:rFonts w:eastAsia="仿宋_GB2312;仿宋" w:ascii="仿宋_GB2312;仿宋" w:hAnsi="仿宋_GB2312;仿宋"/>
          <w:sz w:val="30"/>
          <w:szCs w:val="30"/>
        </w:rPr>
        <w:t>)</w:t>
      </w:r>
      <w:r>
        <w:rPr>
          <w:rFonts w:ascii="仿宋_GB2312;仿宋" w:hAnsi="仿宋_GB2312;仿宋" w:eastAsia="仿宋_GB2312;仿宋"/>
          <w:sz w:val="30"/>
          <w:szCs w:val="30"/>
        </w:rPr>
        <w:t>局开展监管人员和食品药品从业人员培训，全系统共开展培训</w:t>
      </w:r>
      <w:r>
        <w:rPr>
          <w:rFonts w:eastAsia="仿宋_GB2312;仿宋" w:ascii="仿宋_GB2312;仿宋" w:hAnsi="仿宋_GB2312;仿宋"/>
          <w:sz w:val="30"/>
          <w:szCs w:val="30"/>
        </w:rPr>
        <w:t>243</w:t>
      </w:r>
      <w:r>
        <w:rPr>
          <w:rFonts w:ascii="仿宋_GB2312;仿宋" w:hAnsi="仿宋_GB2312;仿宋" w:eastAsia="仿宋_GB2312;仿宋"/>
          <w:sz w:val="30"/>
          <w:szCs w:val="30"/>
        </w:rPr>
        <w:t>次，培训</w:t>
      </w:r>
      <w:r>
        <w:rPr>
          <w:rFonts w:eastAsia="仿宋_GB2312;仿宋" w:ascii="仿宋_GB2312;仿宋" w:hAnsi="仿宋_GB2312;仿宋"/>
          <w:sz w:val="30"/>
          <w:szCs w:val="30"/>
        </w:rPr>
        <w:t>18150</w:t>
      </w:r>
      <w:r>
        <w:rPr>
          <w:rFonts w:ascii="仿宋_GB2312;仿宋" w:hAnsi="仿宋_GB2312;仿宋" w:eastAsia="仿宋_GB2312;仿宋"/>
          <w:sz w:val="30"/>
          <w:szCs w:val="30"/>
        </w:rPr>
        <w:t>余人次。结合工作实际优化行政审批流程，通过政务服务中心、政务网站公布办理流程和申报材料，方便群众查询办理。认真落实市委市政府有关深化改革、简政放权的工作要求，将单位所属行政许可项目纳入市政务中心集中办理。年内，全市办理行政审批事项</w:t>
      </w:r>
      <w:r>
        <w:rPr>
          <w:rFonts w:eastAsia="仿宋_GB2312;仿宋" w:ascii="仿宋_GB2312;仿宋" w:hAnsi="仿宋_GB2312;仿宋"/>
          <w:sz w:val="30"/>
          <w:szCs w:val="30"/>
        </w:rPr>
        <w:t>14668</w:t>
      </w:r>
      <w:r>
        <w:rPr>
          <w:rFonts w:ascii="仿宋_GB2312;仿宋" w:hAnsi="仿宋_GB2312;仿宋" w:eastAsia="仿宋_GB2312;仿宋"/>
          <w:sz w:val="30"/>
          <w:szCs w:val="30"/>
        </w:rPr>
        <w:t>件。</w:t>
      </w:r>
    </w:p>
    <w:p>
      <w:pPr>
        <w:pStyle w:val="Normal"/>
        <w:spacing w:lineRule="exact" w:line="560"/>
        <w:ind w:firstLine="600"/>
        <w:rPr/>
      </w:pPr>
      <w:r>
        <w:rPr>
          <w:rFonts w:ascii="仿宋_GB2312;仿宋" w:hAnsi="仿宋_GB2312;仿宋" w:eastAsia="仿宋_GB2312;仿宋"/>
          <w:sz w:val="30"/>
          <w:szCs w:val="30"/>
        </w:rPr>
        <w:t>在抓好部门职能工作的同时，按照市委市政府相关要求，扎实抓好机关党建及班子自身建设，意识形态、统战、政法、依法治市、全面深化改革等方面的工作，不断增强单位的凝聚力、战斗力，为食品药品监管工作提供强有力的思想、组织保障，</w:t>
      </w:r>
      <w:r>
        <w:rPr>
          <w:rFonts w:ascii="仿宋_GB2312;仿宋" w:hAnsi="仿宋_GB2312;仿宋" w:eastAsia="仿宋_GB2312;仿宋"/>
          <w:color w:val="000000"/>
          <w:sz w:val="30"/>
          <w:szCs w:val="30"/>
        </w:rPr>
        <w:t>在年度食品药品监管工作中，市食品药品监督管理局全体干部职工认真履职，各项工作取得了良好的成效，得到了上级部门的肯定。曲靖市</w:t>
      </w:r>
      <w:r>
        <w:rPr>
          <w:rFonts w:eastAsia="仿宋_GB2312;仿宋" w:ascii="仿宋_GB2312;仿宋" w:hAnsi="仿宋_GB2312;仿宋"/>
          <w:color w:val="000000"/>
          <w:sz w:val="30"/>
          <w:szCs w:val="30"/>
        </w:rPr>
        <w:t>2016</w:t>
      </w:r>
      <w:r>
        <w:rPr>
          <w:rFonts w:ascii="仿宋_GB2312;仿宋" w:hAnsi="仿宋_GB2312;仿宋" w:eastAsia="仿宋_GB2312;仿宋"/>
          <w:color w:val="000000"/>
          <w:sz w:val="30"/>
          <w:szCs w:val="30"/>
        </w:rPr>
        <w:t>年度食品安全目标责任制考核被省政府评定为优秀等次（</w:t>
      </w:r>
      <w:r>
        <w:rPr>
          <w:rFonts w:eastAsia="仿宋_GB2312;仿宋" w:ascii="仿宋_GB2312;仿宋" w:hAnsi="仿宋_GB2312;仿宋"/>
          <w:color w:val="000000"/>
          <w:sz w:val="30"/>
          <w:szCs w:val="30"/>
        </w:rPr>
        <w:t>2017</w:t>
      </w:r>
      <w:r>
        <w:rPr>
          <w:rFonts w:ascii="仿宋_GB2312;仿宋" w:hAnsi="仿宋_GB2312;仿宋" w:eastAsia="仿宋_GB2312;仿宋"/>
          <w:color w:val="000000"/>
          <w:sz w:val="30"/>
          <w:szCs w:val="30"/>
        </w:rPr>
        <w:t>年实施考核），市食品药品监督管理局被省人力资源和社会保障厅、省食品药品监督管理局联合表彰为“全省食品药品安全监管系统先进集体”，被市政协表彰为“提案办理先进集体”，</w:t>
      </w:r>
      <w:r>
        <w:rPr>
          <w:rFonts w:eastAsia="仿宋_GB2312;仿宋" w:ascii="仿宋_GB2312;仿宋" w:hAnsi="仿宋_GB2312;仿宋"/>
          <w:color w:val="000000"/>
          <w:sz w:val="30"/>
          <w:szCs w:val="30"/>
        </w:rPr>
        <w:t>2017</w:t>
      </w:r>
      <w:r>
        <w:rPr>
          <w:rFonts w:ascii="仿宋_GB2312;仿宋" w:hAnsi="仿宋_GB2312;仿宋" w:eastAsia="仿宋_GB2312;仿宋"/>
          <w:color w:val="000000"/>
          <w:sz w:val="30"/>
          <w:szCs w:val="30"/>
        </w:rPr>
        <w:t>年脱贫攻坚工作被考核评定为优秀等次，社会评价进入优秀行列。国务院食安委专家委员会、国家食药监总局领导到曲靖开展国家食品安全战略问题专题调研；国家总局</w:t>
      </w:r>
      <w:r>
        <w:rPr>
          <w:rFonts w:ascii="仿宋_GB2312;仿宋" w:hAnsi="仿宋_GB2312;仿宋" w:eastAsia="仿宋_GB2312;仿宋"/>
          <w:sz w:val="30"/>
          <w:szCs w:val="30"/>
        </w:rPr>
        <w:t>、中国健康传媒集团在曲靖举办了首届全国食药监基层局长研讨会；曲靖市被选赴国家总局就国家食品安全示范城市创建工作进行会议经验交流，创建工作受到了国家局、省局的充分肯定。</w:t>
      </w:r>
    </w:p>
    <w:p>
      <w:pPr>
        <w:pStyle w:val="Normal"/>
        <w:spacing w:lineRule="exact" w:line="560"/>
        <w:ind w:firstLine="600"/>
        <w:rPr>
          <w:rFonts w:ascii="黑体;SimHei" w:hAnsi="黑体;SimHei" w:eastAsia="黑体;SimHei" w:cs="黑体;SimHei"/>
          <w:sz w:val="30"/>
          <w:szCs w:val="30"/>
        </w:rPr>
      </w:pPr>
      <w:r>
        <w:rPr>
          <w:rFonts w:ascii="黑体;SimHei" w:hAnsi="黑体;SimHei" w:cs="黑体;SimHei" w:eastAsia="黑体;SimHei"/>
          <w:sz w:val="30"/>
          <w:szCs w:val="30"/>
        </w:rPr>
        <w:t>二、部门基本情况</w:t>
      </w:r>
    </w:p>
    <w:p>
      <w:pPr>
        <w:pStyle w:val="Normal"/>
        <w:spacing w:lineRule="exact" w:line="560"/>
        <w:ind w:firstLine="600"/>
        <w:rPr>
          <w:rFonts w:ascii="楷体" w:hAnsi="楷体" w:eastAsia="楷体" w:cs="楷体"/>
          <w:sz w:val="30"/>
          <w:szCs w:val="30"/>
        </w:rPr>
      </w:pPr>
      <w:r>
        <w:rPr>
          <w:rFonts w:ascii="楷体" w:hAnsi="楷体" w:cs="楷体" w:eastAsia="楷体"/>
          <w:sz w:val="30"/>
          <w:szCs w:val="30"/>
        </w:rPr>
        <w:t>（一）部门决算单位构成</w:t>
      </w:r>
    </w:p>
    <w:p>
      <w:pPr>
        <w:pStyle w:val="Normal"/>
        <w:spacing w:lineRule="exact" w:line="560"/>
        <w:ind w:firstLine="600"/>
        <w:rPr/>
      </w:pPr>
      <w:r>
        <w:rPr>
          <w:rFonts w:ascii="仿宋_GB2312;仿宋" w:hAnsi="仿宋_GB2312;仿宋" w:eastAsia="仿宋_GB2312;仿宋"/>
          <w:sz w:val="30"/>
          <w:szCs w:val="30"/>
        </w:rPr>
        <w:t>纳入</w:t>
      </w:r>
      <w:r>
        <w:rPr>
          <w:rFonts w:eastAsia="仿宋_GB2312;仿宋" w:ascii="仿宋_GB2312;仿宋" w:hAnsi="仿宋_GB2312;仿宋"/>
          <w:sz w:val="30"/>
          <w:szCs w:val="30"/>
        </w:rPr>
        <w:t>2017</w:t>
      </w:r>
      <w:r>
        <w:rPr>
          <w:rFonts w:ascii="仿宋_GB2312;仿宋" w:hAnsi="仿宋_GB2312;仿宋" w:eastAsia="仿宋_GB2312;仿宋"/>
          <w:sz w:val="30"/>
          <w:szCs w:val="30"/>
        </w:rPr>
        <w:t>年度部门决算编报的单位共</w:t>
      </w:r>
      <w:r>
        <w:rPr>
          <w:rFonts w:eastAsia="仿宋_GB2312;仿宋" w:ascii="仿宋_GB2312;仿宋" w:hAnsi="仿宋_GB2312;仿宋"/>
          <w:sz w:val="30"/>
          <w:szCs w:val="30"/>
        </w:rPr>
        <w:t>3</w:t>
      </w:r>
      <w:r>
        <w:rPr>
          <w:rFonts w:ascii="仿宋_GB2312;仿宋" w:hAnsi="仿宋_GB2312;仿宋" w:eastAsia="仿宋_GB2312;仿宋"/>
          <w:sz w:val="30"/>
          <w:szCs w:val="30"/>
        </w:rPr>
        <w:t>个，其中：行政单位</w:t>
      </w:r>
      <w:r>
        <w:rPr>
          <w:rFonts w:eastAsia="仿宋_GB2312;仿宋" w:ascii="仿宋_GB2312;仿宋" w:hAnsi="仿宋_GB2312;仿宋"/>
          <w:sz w:val="30"/>
          <w:szCs w:val="30"/>
        </w:rPr>
        <w:t>1</w:t>
      </w:r>
      <w:r>
        <w:rPr>
          <w:rFonts w:ascii="仿宋_GB2312;仿宋" w:hAnsi="仿宋_GB2312;仿宋" w:eastAsia="仿宋_GB2312;仿宋"/>
          <w:sz w:val="30"/>
          <w:szCs w:val="30"/>
        </w:rPr>
        <w:t>个，全额拨款的事业单位</w:t>
      </w:r>
      <w:r>
        <w:rPr>
          <w:rFonts w:eastAsia="仿宋_GB2312;仿宋" w:ascii="仿宋_GB2312;仿宋" w:hAnsi="仿宋_GB2312;仿宋"/>
          <w:bCs/>
          <w:sz w:val="30"/>
          <w:szCs w:val="30"/>
        </w:rPr>
        <w:t>2</w:t>
      </w:r>
      <w:r>
        <w:rPr>
          <w:rFonts w:ascii="仿宋_GB2312;仿宋" w:hAnsi="仿宋_GB2312;仿宋" w:eastAsia="仿宋_GB2312;仿宋"/>
          <w:sz w:val="30"/>
          <w:szCs w:val="30"/>
        </w:rPr>
        <w:t>个。分别是：</w:t>
      </w:r>
    </w:p>
    <w:p>
      <w:pPr>
        <w:pStyle w:val="Normal"/>
        <w:spacing w:lineRule="exact" w:line="560"/>
        <w:ind w:firstLine="600"/>
        <w:rPr>
          <w:rFonts w:ascii="仿宋_GB2312;仿宋" w:hAnsi="仿宋_GB2312;仿宋" w:eastAsia="仿宋_GB2312;仿宋"/>
          <w:sz w:val="30"/>
          <w:szCs w:val="30"/>
        </w:rPr>
      </w:pPr>
      <w:r>
        <w:rPr>
          <w:rFonts w:eastAsia="仿宋_GB2312;仿宋" w:ascii="仿宋_GB2312;仿宋" w:hAnsi="仿宋_GB2312;仿宋"/>
          <w:sz w:val="30"/>
          <w:szCs w:val="30"/>
        </w:rPr>
        <w:t>1.</w:t>
      </w:r>
      <w:r>
        <w:rPr>
          <w:rFonts w:ascii="仿宋_GB2312;仿宋" w:hAnsi="仿宋_GB2312;仿宋" w:eastAsia="仿宋_GB2312;仿宋"/>
          <w:sz w:val="30"/>
          <w:szCs w:val="30"/>
        </w:rPr>
        <w:t>曲靖市食品药品监督管理局机关；</w:t>
      </w:r>
    </w:p>
    <w:p>
      <w:pPr>
        <w:pStyle w:val="Normal"/>
        <w:spacing w:lineRule="exact" w:line="560"/>
        <w:ind w:firstLine="600"/>
        <w:rPr>
          <w:rFonts w:ascii="仿宋_GB2312;仿宋" w:hAnsi="仿宋_GB2312;仿宋" w:eastAsia="仿宋_GB2312;仿宋"/>
          <w:sz w:val="30"/>
          <w:szCs w:val="30"/>
        </w:rPr>
      </w:pPr>
      <w:r>
        <w:rPr>
          <w:rFonts w:eastAsia="仿宋_GB2312;仿宋" w:ascii="仿宋_GB2312;仿宋" w:hAnsi="仿宋_GB2312;仿宋"/>
          <w:sz w:val="30"/>
          <w:szCs w:val="30"/>
        </w:rPr>
        <w:t>2.</w:t>
      </w:r>
      <w:r>
        <w:rPr>
          <w:rFonts w:ascii="仿宋_GB2312;仿宋" w:hAnsi="仿宋_GB2312;仿宋" w:eastAsia="仿宋_GB2312;仿宋"/>
          <w:sz w:val="30"/>
          <w:szCs w:val="30"/>
        </w:rPr>
        <w:t>曲靖市食品药品检验检测中心；</w:t>
      </w:r>
    </w:p>
    <w:p>
      <w:pPr>
        <w:pStyle w:val="Normal"/>
        <w:spacing w:lineRule="exact" w:line="560"/>
        <w:ind w:firstLine="600"/>
        <w:rPr>
          <w:rFonts w:ascii="仿宋_GB2312;仿宋" w:hAnsi="仿宋_GB2312;仿宋" w:eastAsia="仿宋_GB2312;仿宋"/>
          <w:sz w:val="30"/>
          <w:szCs w:val="30"/>
        </w:rPr>
      </w:pPr>
      <w:r>
        <w:rPr>
          <w:rFonts w:eastAsia="仿宋_GB2312;仿宋" w:ascii="仿宋_GB2312;仿宋" w:hAnsi="仿宋_GB2312;仿宋"/>
          <w:sz w:val="30"/>
          <w:szCs w:val="30"/>
        </w:rPr>
        <w:t>3.</w:t>
      </w:r>
      <w:r>
        <w:rPr>
          <w:rFonts w:ascii="仿宋_GB2312;仿宋" w:hAnsi="仿宋_GB2312;仿宋" w:eastAsia="仿宋_GB2312;仿宋"/>
          <w:sz w:val="30"/>
          <w:szCs w:val="30"/>
        </w:rPr>
        <w:t>曲靖市食品药品不良反应与药物滥用检测中心。</w:t>
      </w:r>
    </w:p>
    <w:p>
      <w:pPr>
        <w:pStyle w:val="Normal"/>
        <w:spacing w:lineRule="exact" w:line="560"/>
        <w:ind w:firstLine="600"/>
        <w:rPr>
          <w:rFonts w:ascii="楷体" w:hAnsi="楷体" w:eastAsia="楷体" w:cs="楷体"/>
          <w:sz w:val="30"/>
          <w:szCs w:val="30"/>
        </w:rPr>
      </w:pPr>
      <w:r>
        <w:rPr>
          <w:rFonts w:ascii="楷体" w:hAnsi="楷体" w:cs="楷体" w:eastAsia="楷体"/>
          <w:sz w:val="30"/>
          <w:szCs w:val="30"/>
        </w:rPr>
        <w:t xml:space="preserve">（二）部门人员和车辆的编制及实有情况 </w:t>
      </w:r>
    </w:p>
    <w:p>
      <w:pPr>
        <w:pStyle w:val="Normal"/>
        <w:spacing w:lineRule="exact" w:line="560"/>
        <w:ind w:firstLine="600"/>
        <w:rPr/>
      </w:pPr>
      <w:r>
        <w:rPr>
          <w:rFonts w:ascii="仿宋_GB2312;仿宋" w:hAnsi="仿宋_GB2312;仿宋" w:eastAsia="仿宋_GB2312;仿宋"/>
          <w:sz w:val="30"/>
          <w:szCs w:val="30"/>
        </w:rPr>
        <w:t>部门实有人员编制</w:t>
      </w:r>
      <w:r>
        <w:rPr>
          <w:rFonts w:eastAsia="仿宋_GB2312;仿宋" w:ascii="仿宋_GB2312;仿宋" w:hAnsi="仿宋_GB2312;仿宋"/>
          <w:sz w:val="30"/>
          <w:szCs w:val="30"/>
        </w:rPr>
        <w:t>93</w:t>
      </w:r>
      <w:r>
        <w:rPr>
          <w:rFonts w:ascii="仿宋_GB2312;仿宋" w:hAnsi="仿宋_GB2312;仿宋" w:cs="Arial" w:eastAsia="仿宋_GB2312;仿宋"/>
          <w:kern w:val="0"/>
          <w:sz w:val="30"/>
          <w:szCs w:val="30"/>
        </w:rPr>
        <w:t>人，其中：行政编制</w:t>
      </w:r>
      <w:r>
        <w:rPr>
          <w:rFonts w:eastAsia="仿宋_GB2312;仿宋" w:ascii="仿宋_GB2312;仿宋" w:hAnsi="仿宋_GB2312;仿宋"/>
          <w:sz w:val="30"/>
          <w:szCs w:val="30"/>
        </w:rPr>
        <w:t>55</w:t>
      </w:r>
      <w:r>
        <w:rPr>
          <w:rFonts w:ascii="仿宋_GB2312;仿宋" w:hAnsi="仿宋_GB2312;仿宋" w:cs="Arial" w:eastAsia="仿宋_GB2312;仿宋"/>
          <w:kern w:val="0"/>
          <w:sz w:val="30"/>
          <w:szCs w:val="30"/>
        </w:rPr>
        <w:t>人（含行政工勤编制</w:t>
      </w:r>
      <w:r>
        <w:rPr>
          <w:rFonts w:eastAsia="仿宋_GB2312;仿宋" w:ascii="仿宋_GB2312;仿宋" w:hAnsi="仿宋_GB2312;仿宋"/>
          <w:sz w:val="30"/>
          <w:szCs w:val="30"/>
        </w:rPr>
        <w:t>1</w:t>
      </w:r>
      <w:r>
        <w:rPr>
          <w:rFonts w:ascii="仿宋_GB2312;仿宋" w:hAnsi="仿宋_GB2312;仿宋" w:cs="Arial" w:eastAsia="仿宋_GB2312;仿宋"/>
          <w:kern w:val="0"/>
          <w:sz w:val="30"/>
          <w:szCs w:val="30"/>
        </w:rPr>
        <w:t>人），事业编制</w:t>
      </w:r>
      <w:r>
        <w:rPr>
          <w:rFonts w:eastAsia="仿宋_GB2312;仿宋" w:ascii="仿宋_GB2312;仿宋" w:hAnsi="仿宋_GB2312;仿宋"/>
          <w:sz w:val="30"/>
          <w:szCs w:val="30"/>
        </w:rPr>
        <w:t>38</w:t>
      </w:r>
      <w:r>
        <w:rPr>
          <w:rFonts w:ascii="仿宋_GB2312;仿宋" w:hAnsi="仿宋_GB2312;仿宋" w:cs="Arial" w:eastAsia="仿宋_GB2312;仿宋"/>
          <w:kern w:val="0"/>
          <w:sz w:val="30"/>
          <w:szCs w:val="30"/>
        </w:rPr>
        <w:t>人；在职在编实有行政人员</w:t>
      </w:r>
      <w:r>
        <w:rPr>
          <w:rFonts w:eastAsia="仿宋_GB2312;仿宋" w:ascii="仿宋_GB2312;仿宋" w:hAnsi="仿宋_GB2312;仿宋"/>
          <w:sz w:val="30"/>
          <w:szCs w:val="30"/>
        </w:rPr>
        <w:t>66</w:t>
      </w:r>
      <w:r>
        <w:rPr>
          <w:rFonts w:ascii="仿宋_GB2312;仿宋" w:hAnsi="仿宋_GB2312;仿宋" w:cs="Arial" w:eastAsia="仿宋_GB2312;仿宋"/>
          <w:kern w:val="0"/>
          <w:sz w:val="30"/>
          <w:szCs w:val="30"/>
        </w:rPr>
        <w:t>人（含行政工勤人员</w:t>
      </w:r>
      <w:r>
        <w:rPr>
          <w:rFonts w:eastAsia="仿宋_GB2312;仿宋" w:ascii="仿宋_GB2312;仿宋" w:hAnsi="仿宋_GB2312;仿宋"/>
          <w:sz w:val="30"/>
          <w:szCs w:val="30"/>
        </w:rPr>
        <w:t>2</w:t>
      </w:r>
      <w:r>
        <w:rPr>
          <w:rFonts w:ascii="仿宋_GB2312;仿宋" w:hAnsi="仿宋_GB2312;仿宋" w:cs="Arial" w:eastAsia="仿宋_GB2312;仿宋"/>
          <w:kern w:val="0"/>
          <w:sz w:val="30"/>
          <w:szCs w:val="30"/>
        </w:rPr>
        <w:t>人），事业人员</w:t>
      </w:r>
      <w:r>
        <w:rPr>
          <w:rFonts w:eastAsia="仿宋_GB2312;仿宋" w:ascii="仿宋_GB2312;仿宋" w:hAnsi="仿宋_GB2312;仿宋"/>
          <w:sz w:val="30"/>
          <w:szCs w:val="30"/>
        </w:rPr>
        <w:t>35</w:t>
      </w:r>
      <w:r>
        <w:rPr>
          <w:rFonts w:ascii="仿宋_GB2312;仿宋" w:hAnsi="仿宋_GB2312;仿宋" w:cs="Arial" w:eastAsia="仿宋_GB2312;仿宋"/>
          <w:kern w:val="0"/>
          <w:sz w:val="30"/>
          <w:szCs w:val="30"/>
        </w:rPr>
        <w:t>人。离退休人员</w:t>
      </w:r>
      <w:r>
        <w:rPr>
          <w:rFonts w:eastAsia="仿宋_GB2312;仿宋" w:ascii="仿宋_GB2312;仿宋" w:hAnsi="仿宋_GB2312;仿宋"/>
          <w:sz w:val="30"/>
          <w:szCs w:val="30"/>
        </w:rPr>
        <w:t>19</w:t>
      </w:r>
      <w:r>
        <w:rPr>
          <w:rFonts w:ascii="仿宋_GB2312;仿宋" w:hAnsi="仿宋_GB2312;仿宋" w:cs="Arial" w:eastAsia="仿宋_GB2312;仿宋"/>
          <w:kern w:val="0"/>
          <w:sz w:val="30"/>
          <w:szCs w:val="30"/>
        </w:rPr>
        <w:t>人，其中：无离休人员，退休</w:t>
      </w:r>
      <w:r>
        <w:rPr>
          <w:rFonts w:eastAsia="仿宋_GB2312;仿宋" w:ascii="仿宋_GB2312;仿宋" w:hAnsi="仿宋_GB2312;仿宋"/>
          <w:sz w:val="30"/>
          <w:szCs w:val="30"/>
        </w:rPr>
        <w:t>19</w:t>
      </w:r>
      <w:r>
        <w:rPr>
          <w:rFonts w:ascii="仿宋_GB2312;仿宋" w:hAnsi="仿宋_GB2312;仿宋" w:cs="Arial" w:eastAsia="仿宋_GB2312;仿宋"/>
          <w:kern w:val="0"/>
          <w:sz w:val="30"/>
          <w:szCs w:val="30"/>
        </w:rPr>
        <w:t>人。实有车辆编制</w:t>
      </w:r>
      <w:r>
        <w:rPr>
          <w:rFonts w:eastAsia="仿宋_GB2312;仿宋" w:ascii="仿宋_GB2312;仿宋" w:hAnsi="仿宋_GB2312;仿宋"/>
          <w:sz w:val="30"/>
          <w:szCs w:val="30"/>
        </w:rPr>
        <w:t>8</w:t>
      </w:r>
      <w:r>
        <w:rPr>
          <w:rFonts w:ascii="仿宋_GB2312;仿宋" w:hAnsi="仿宋_GB2312;仿宋" w:cs="Arial" w:eastAsia="仿宋_GB2312;仿宋"/>
          <w:kern w:val="0"/>
          <w:sz w:val="30"/>
          <w:szCs w:val="30"/>
        </w:rPr>
        <w:t>辆，在编实有车辆</w:t>
      </w:r>
      <w:r>
        <w:rPr>
          <w:rFonts w:eastAsia="仿宋_GB2312;仿宋" w:ascii="仿宋_GB2312;仿宋" w:hAnsi="仿宋_GB2312;仿宋"/>
          <w:sz w:val="30"/>
          <w:szCs w:val="30"/>
        </w:rPr>
        <w:t>11</w:t>
      </w:r>
      <w:r>
        <w:rPr>
          <w:rFonts w:ascii="仿宋_GB2312;仿宋" w:hAnsi="仿宋_GB2312;仿宋" w:cs="Arial" w:eastAsia="仿宋_GB2312;仿宋"/>
          <w:kern w:val="0"/>
          <w:sz w:val="30"/>
          <w:szCs w:val="30"/>
        </w:rPr>
        <w:t>辆。</w:t>
      </w:r>
    </w:p>
    <w:p>
      <w:pPr>
        <w:pStyle w:val="Normal"/>
        <w:spacing w:lineRule="exact" w:line="560"/>
        <w:ind w:firstLine="600"/>
        <w:rPr>
          <w:rFonts w:ascii="仿宋_GB2312;仿宋" w:hAnsi="仿宋_GB2312;仿宋" w:eastAsia="仿宋_GB2312;仿宋" w:cs="Arial"/>
          <w:kern w:val="0"/>
          <w:sz w:val="30"/>
          <w:szCs w:val="30"/>
        </w:rPr>
      </w:pPr>
      <w:r>
        <w:rPr>
          <w:rFonts w:eastAsia="仿宋_GB2312;仿宋" w:cs="Arial" w:ascii="仿宋_GB2312;仿宋" w:hAnsi="仿宋_GB2312;仿宋"/>
          <w:kern w:val="0"/>
          <w:sz w:val="30"/>
          <w:szCs w:val="30"/>
        </w:rPr>
      </w:r>
    </w:p>
    <w:p>
      <w:pPr>
        <w:pStyle w:val="Normal"/>
        <w:spacing w:lineRule="exact" w:line="560"/>
        <w:jc w:val="center"/>
        <w:rPr>
          <w:rFonts w:ascii="黑体;SimHei" w:hAnsi="黑体;SimHei" w:eastAsia="黑体;SimHei" w:cs="黑体;SimHei"/>
          <w:sz w:val="32"/>
          <w:szCs w:val="32"/>
        </w:rPr>
      </w:pPr>
      <w:r>
        <w:rPr>
          <w:rFonts w:ascii="黑体;SimHei" w:hAnsi="黑体;SimHei" w:cs="黑体;SimHei" w:eastAsia="黑体;SimHei"/>
          <w:sz w:val="32"/>
          <w:szCs w:val="32"/>
        </w:rPr>
        <w:t xml:space="preserve">第二部分 </w:t>
      </w:r>
      <w:r>
        <w:rPr>
          <w:rFonts w:eastAsia="黑体;SimHei" w:cs="黑体;SimHei" w:ascii="黑体;SimHei" w:hAnsi="黑体;SimHei"/>
          <w:sz w:val="32"/>
          <w:szCs w:val="32"/>
        </w:rPr>
        <w:t>2017</w:t>
      </w:r>
      <w:r>
        <w:rPr>
          <w:rFonts w:ascii="黑体;SimHei" w:hAnsi="黑体;SimHei" w:cs="黑体;SimHei" w:eastAsia="黑体;SimHei"/>
          <w:sz w:val="32"/>
          <w:szCs w:val="32"/>
        </w:rPr>
        <w:t>年度部门决算表</w:t>
      </w:r>
    </w:p>
    <w:p>
      <w:pPr>
        <w:pStyle w:val="Normal"/>
        <w:spacing w:lineRule="exact" w:line="560"/>
        <w:ind w:firstLine="3300"/>
        <w:rPr>
          <w:rFonts w:ascii="仿宋_GB2312;仿宋" w:hAnsi="仿宋_GB2312;仿宋" w:eastAsia="仿宋_GB2312;仿宋"/>
          <w:sz w:val="30"/>
          <w:szCs w:val="30"/>
        </w:rPr>
      </w:pPr>
      <w:r>
        <w:rPr>
          <w:rFonts w:ascii="仿宋_GB2312;仿宋" w:hAnsi="仿宋_GB2312;仿宋" w:eastAsia="仿宋_GB2312;仿宋"/>
          <w:sz w:val="30"/>
          <w:szCs w:val="30"/>
        </w:rPr>
        <w:t>（详见附件）</w:t>
      </w:r>
    </w:p>
    <w:p>
      <w:pPr>
        <w:pStyle w:val="Normal"/>
        <w:spacing w:lineRule="exact" w:line="560"/>
        <w:jc w:val="center"/>
        <w:rPr>
          <w:rFonts w:ascii="黑体;SimHei" w:hAnsi="黑体;SimHei" w:eastAsia="黑体;SimHei" w:cs="黑体;SimHei"/>
          <w:sz w:val="32"/>
          <w:szCs w:val="32"/>
        </w:rPr>
      </w:pPr>
      <w:r>
        <w:rPr>
          <w:rFonts w:ascii="黑体;SimHei" w:hAnsi="黑体;SimHei" w:cs="黑体;SimHei" w:eastAsia="黑体;SimHei"/>
          <w:sz w:val="32"/>
          <w:szCs w:val="32"/>
        </w:rPr>
        <w:t xml:space="preserve">第三部门  </w:t>
      </w:r>
      <w:r>
        <w:rPr>
          <w:rFonts w:eastAsia="黑体;SimHei" w:cs="黑体;SimHei" w:ascii="黑体;SimHei" w:hAnsi="黑体;SimHei"/>
          <w:sz w:val="32"/>
          <w:szCs w:val="32"/>
        </w:rPr>
        <w:t>2017</w:t>
      </w:r>
      <w:r>
        <w:rPr>
          <w:rFonts w:ascii="黑体;SimHei" w:hAnsi="黑体;SimHei" w:cs="黑体;SimHei" w:eastAsia="黑体;SimHei"/>
          <w:sz w:val="32"/>
          <w:szCs w:val="32"/>
        </w:rPr>
        <w:t>年度部门决算情况说明</w:t>
      </w:r>
    </w:p>
    <w:p>
      <w:pPr>
        <w:pStyle w:val="Normal"/>
        <w:spacing w:lineRule="exact" w:line="560"/>
        <w:ind w:firstLine="600"/>
        <w:rPr>
          <w:rFonts w:ascii="黑体;SimHei" w:hAnsi="黑体;SimHei" w:eastAsia="黑体;SimHei" w:cs="黑体;SimHei"/>
          <w:sz w:val="30"/>
          <w:szCs w:val="30"/>
        </w:rPr>
      </w:pPr>
      <w:r>
        <w:rPr>
          <w:rFonts w:ascii="黑体;SimHei" w:hAnsi="黑体;SimHei" w:cs="黑体;SimHei" w:eastAsia="黑体;SimHei"/>
          <w:sz w:val="30"/>
          <w:szCs w:val="30"/>
        </w:rPr>
        <w:t>一、收入决算情况说明</w:t>
      </w:r>
    </w:p>
    <w:p>
      <w:pPr>
        <w:pStyle w:val="Normal"/>
        <w:snapToGrid w:val="false"/>
        <w:spacing w:lineRule="exact" w:line="560"/>
        <w:ind w:firstLine="538"/>
        <w:rPr>
          <w:rFonts w:ascii="仿宋_GB2312;仿宋" w:hAnsi="仿宋_GB2312;仿宋" w:eastAsia="仿宋_GB2312;仿宋"/>
          <w:sz w:val="30"/>
          <w:szCs w:val="30"/>
        </w:rPr>
      </w:pPr>
      <w:r>
        <w:rPr>
          <w:rFonts w:ascii="仿宋_GB2312;仿宋" w:hAnsi="仿宋_GB2312;仿宋" w:eastAsia="仿宋_GB2312;仿宋"/>
          <w:sz w:val="30"/>
          <w:szCs w:val="30"/>
        </w:rPr>
        <w:t>部门</w:t>
      </w:r>
      <w:r>
        <w:rPr>
          <w:rFonts w:eastAsia="仿宋_GB2312;仿宋" w:ascii="仿宋_GB2312;仿宋" w:hAnsi="仿宋_GB2312;仿宋"/>
          <w:sz w:val="30"/>
          <w:szCs w:val="30"/>
        </w:rPr>
        <w:t>2017</w:t>
      </w:r>
      <w:r>
        <w:rPr>
          <w:rFonts w:ascii="仿宋_GB2312;仿宋" w:hAnsi="仿宋_GB2312;仿宋" w:eastAsia="仿宋_GB2312;仿宋"/>
          <w:sz w:val="30"/>
          <w:szCs w:val="30"/>
        </w:rPr>
        <w:t>年度总收入合计</w:t>
      </w:r>
      <w:r>
        <w:rPr>
          <w:rFonts w:eastAsia="仿宋_GB2312;仿宋" w:ascii="仿宋_GB2312;仿宋" w:hAnsi="仿宋_GB2312;仿宋"/>
          <w:sz w:val="30"/>
          <w:szCs w:val="30"/>
        </w:rPr>
        <w:t>4,497.27</w:t>
      </w:r>
      <w:r>
        <w:rPr>
          <w:rFonts w:ascii="仿宋_GB2312;仿宋" w:hAnsi="仿宋_GB2312;仿宋" w:eastAsia="仿宋_GB2312;仿宋"/>
          <w:sz w:val="30"/>
          <w:szCs w:val="30"/>
        </w:rPr>
        <w:t>万元，其中：财政拨款收入</w:t>
      </w:r>
      <w:r>
        <w:rPr>
          <w:rFonts w:eastAsia="仿宋_GB2312;仿宋" w:ascii="仿宋_GB2312;仿宋" w:hAnsi="仿宋_GB2312;仿宋"/>
          <w:sz w:val="30"/>
          <w:szCs w:val="30"/>
        </w:rPr>
        <w:t>4,410.32</w:t>
      </w:r>
      <w:r>
        <w:rPr>
          <w:rFonts w:ascii="仿宋_GB2312;仿宋" w:hAnsi="仿宋_GB2312;仿宋" w:eastAsia="仿宋_GB2312;仿宋"/>
          <w:sz w:val="30"/>
          <w:szCs w:val="30"/>
        </w:rPr>
        <w:t>万元，占总收入的</w:t>
      </w:r>
      <w:r>
        <w:rPr>
          <w:rFonts w:eastAsia="仿宋_GB2312;仿宋" w:ascii="仿宋_GB2312;仿宋" w:hAnsi="仿宋_GB2312;仿宋"/>
          <w:sz w:val="30"/>
          <w:szCs w:val="30"/>
        </w:rPr>
        <w:t>98.07%</w:t>
      </w:r>
      <w:r>
        <w:rPr>
          <w:rFonts w:ascii="仿宋_GB2312;仿宋" w:hAnsi="仿宋_GB2312;仿宋" w:eastAsia="仿宋_GB2312;仿宋"/>
          <w:sz w:val="30"/>
          <w:szCs w:val="30"/>
        </w:rPr>
        <w:t>；上级补助收入</w:t>
      </w:r>
      <w:r>
        <w:rPr>
          <w:rFonts w:eastAsia="仿宋_GB2312;仿宋" w:ascii="仿宋_GB2312;仿宋" w:hAnsi="仿宋_GB2312;仿宋"/>
          <w:sz w:val="30"/>
          <w:szCs w:val="30"/>
        </w:rPr>
        <w:t>0</w:t>
      </w:r>
      <w:r>
        <w:rPr>
          <w:rFonts w:ascii="仿宋_GB2312;仿宋" w:hAnsi="仿宋_GB2312;仿宋" w:eastAsia="仿宋_GB2312;仿宋"/>
          <w:sz w:val="30"/>
          <w:szCs w:val="30"/>
        </w:rPr>
        <w:t>万元；事业收入</w:t>
      </w:r>
      <w:r>
        <w:rPr>
          <w:rFonts w:eastAsia="仿宋_GB2312;仿宋" w:ascii="仿宋_GB2312;仿宋" w:hAnsi="仿宋_GB2312;仿宋"/>
          <w:sz w:val="30"/>
          <w:szCs w:val="30"/>
        </w:rPr>
        <w:t>0</w:t>
      </w:r>
      <w:r>
        <w:rPr>
          <w:rFonts w:ascii="仿宋_GB2312;仿宋" w:hAnsi="仿宋_GB2312;仿宋" w:eastAsia="仿宋_GB2312;仿宋"/>
          <w:sz w:val="30"/>
          <w:szCs w:val="30"/>
        </w:rPr>
        <w:t>万元；经营收入</w:t>
      </w:r>
      <w:r>
        <w:rPr>
          <w:rFonts w:eastAsia="仿宋_GB2312;仿宋" w:ascii="仿宋_GB2312;仿宋" w:hAnsi="仿宋_GB2312;仿宋"/>
          <w:sz w:val="30"/>
          <w:szCs w:val="30"/>
        </w:rPr>
        <w:t>0</w:t>
      </w:r>
      <w:r>
        <w:rPr>
          <w:rFonts w:ascii="仿宋_GB2312;仿宋" w:hAnsi="仿宋_GB2312;仿宋" w:eastAsia="仿宋_GB2312;仿宋"/>
          <w:sz w:val="30"/>
          <w:szCs w:val="30"/>
        </w:rPr>
        <w:t>万元；其他收入</w:t>
      </w:r>
      <w:r>
        <w:rPr>
          <w:rFonts w:eastAsia="仿宋_GB2312;仿宋" w:ascii="仿宋_GB2312;仿宋" w:hAnsi="仿宋_GB2312;仿宋"/>
          <w:sz w:val="30"/>
          <w:szCs w:val="30"/>
        </w:rPr>
        <w:t>86.95</w:t>
      </w:r>
      <w:r>
        <w:rPr>
          <w:rFonts w:ascii="仿宋_GB2312;仿宋" w:hAnsi="仿宋_GB2312;仿宋" w:eastAsia="仿宋_GB2312;仿宋"/>
          <w:sz w:val="30"/>
          <w:szCs w:val="30"/>
        </w:rPr>
        <w:t>万元，占总收入的</w:t>
      </w:r>
      <w:r>
        <w:rPr>
          <w:rFonts w:eastAsia="仿宋_GB2312;仿宋" w:ascii="仿宋_GB2312;仿宋" w:hAnsi="仿宋_GB2312;仿宋"/>
          <w:sz w:val="30"/>
          <w:szCs w:val="30"/>
        </w:rPr>
        <w:t>1.93%</w:t>
      </w:r>
      <w:r>
        <w:rPr>
          <w:rFonts w:ascii="仿宋_GB2312;仿宋" w:hAnsi="仿宋_GB2312;仿宋" w:eastAsia="仿宋_GB2312;仿宋"/>
          <w:sz w:val="30"/>
          <w:szCs w:val="30"/>
        </w:rPr>
        <w:t>。</w:t>
      </w:r>
    </w:p>
    <w:p>
      <w:pPr>
        <w:pStyle w:val="Normal"/>
        <w:snapToGrid w:val="false"/>
        <w:spacing w:lineRule="exact" w:line="560"/>
        <w:ind w:firstLine="538"/>
        <w:rPr>
          <w:rFonts w:ascii="仿宋_GB2312;仿宋" w:hAnsi="仿宋_GB2312;仿宋" w:eastAsia="仿宋_GB2312;仿宋"/>
          <w:sz w:val="30"/>
          <w:szCs w:val="30"/>
        </w:rPr>
      </w:pPr>
      <w:r>
        <w:rPr>
          <w:rFonts w:ascii="仿宋_GB2312;仿宋" w:hAnsi="仿宋_GB2312;仿宋" w:eastAsia="仿宋_GB2312;仿宋"/>
          <w:sz w:val="30"/>
          <w:szCs w:val="30"/>
        </w:rPr>
        <w:t>部门</w:t>
      </w:r>
      <w:r>
        <w:rPr>
          <w:rFonts w:eastAsia="仿宋_GB2312;仿宋" w:ascii="仿宋_GB2312;仿宋" w:hAnsi="仿宋_GB2312;仿宋"/>
          <w:sz w:val="30"/>
          <w:szCs w:val="30"/>
        </w:rPr>
        <w:t>2016</w:t>
      </w:r>
      <w:r>
        <w:rPr>
          <w:rFonts w:ascii="仿宋_GB2312;仿宋" w:hAnsi="仿宋_GB2312;仿宋" w:eastAsia="仿宋_GB2312;仿宋"/>
          <w:sz w:val="30"/>
          <w:szCs w:val="30"/>
        </w:rPr>
        <w:t>年度总收入</w:t>
      </w:r>
      <w:r>
        <w:rPr>
          <w:rFonts w:eastAsia="仿宋_GB2312;仿宋" w:ascii="仿宋_GB2312;仿宋" w:hAnsi="仿宋_GB2312;仿宋"/>
          <w:sz w:val="30"/>
          <w:szCs w:val="30"/>
        </w:rPr>
        <w:t>3,921.80</w:t>
      </w:r>
      <w:r>
        <w:rPr>
          <w:rFonts w:ascii="仿宋_GB2312;仿宋" w:hAnsi="仿宋_GB2312;仿宋" w:eastAsia="仿宋_GB2312;仿宋"/>
          <w:sz w:val="30"/>
          <w:szCs w:val="30"/>
        </w:rPr>
        <w:t>万元，其中：财政拨款收入</w:t>
      </w:r>
      <w:r>
        <w:rPr>
          <w:rFonts w:eastAsia="仿宋_GB2312;仿宋" w:ascii="仿宋_GB2312;仿宋" w:hAnsi="仿宋_GB2312;仿宋"/>
          <w:sz w:val="30"/>
          <w:szCs w:val="30"/>
        </w:rPr>
        <w:t>3,870.46</w:t>
      </w:r>
      <w:r>
        <w:rPr>
          <w:rFonts w:ascii="仿宋_GB2312;仿宋" w:hAnsi="仿宋_GB2312;仿宋" w:eastAsia="仿宋_GB2312;仿宋"/>
          <w:sz w:val="30"/>
          <w:szCs w:val="30"/>
        </w:rPr>
        <w:t>万元，占总收入的</w:t>
      </w:r>
      <w:r>
        <w:rPr>
          <w:rFonts w:eastAsia="仿宋_GB2312;仿宋" w:ascii="仿宋_GB2312;仿宋" w:hAnsi="仿宋_GB2312;仿宋"/>
          <w:sz w:val="30"/>
          <w:szCs w:val="30"/>
        </w:rPr>
        <w:t>98.69%</w:t>
      </w:r>
      <w:r>
        <w:rPr>
          <w:rFonts w:ascii="仿宋_GB2312;仿宋" w:hAnsi="仿宋_GB2312;仿宋" w:eastAsia="仿宋_GB2312;仿宋"/>
          <w:sz w:val="30"/>
          <w:szCs w:val="30"/>
        </w:rPr>
        <w:t>；上级补助收入</w:t>
      </w:r>
      <w:r>
        <w:rPr>
          <w:rFonts w:eastAsia="仿宋_GB2312;仿宋" w:ascii="仿宋_GB2312;仿宋" w:hAnsi="仿宋_GB2312;仿宋"/>
          <w:sz w:val="30"/>
          <w:szCs w:val="30"/>
        </w:rPr>
        <w:t>0</w:t>
      </w:r>
      <w:r>
        <w:rPr>
          <w:rFonts w:ascii="仿宋_GB2312;仿宋" w:hAnsi="仿宋_GB2312;仿宋" w:eastAsia="仿宋_GB2312;仿宋"/>
          <w:sz w:val="30"/>
          <w:szCs w:val="30"/>
        </w:rPr>
        <w:t>万元；事业收入</w:t>
      </w:r>
      <w:r>
        <w:rPr>
          <w:rFonts w:eastAsia="仿宋_GB2312;仿宋" w:ascii="仿宋_GB2312;仿宋" w:hAnsi="仿宋_GB2312;仿宋"/>
          <w:sz w:val="30"/>
          <w:szCs w:val="30"/>
        </w:rPr>
        <w:t>0</w:t>
      </w:r>
      <w:r>
        <w:rPr>
          <w:rFonts w:ascii="仿宋_GB2312;仿宋" w:hAnsi="仿宋_GB2312;仿宋" w:eastAsia="仿宋_GB2312;仿宋"/>
          <w:sz w:val="30"/>
          <w:szCs w:val="30"/>
        </w:rPr>
        <w:t>万元；经营收入</w:t>
      </w:r>
      <w:r>
        <w:rPr>
          <w:rFonts w:eastAsia="仿宋_GB2312;仿宋" w:ascii="仿宋_GB2312;仿宋" w:hAnsi="仿宋_GB2312;仿宋"/>
          <w:sz w:val="30"/>
          <w:szCs w:val="30"/>
        </w:rPr>
        <w:t>0</w:t>
      </w:r>
      <w:r>
        <w:rPr>
          <w:rFonts w:ascii="仿宋_GB2312;仿宋" w:hAnsi="仿宋_GB2312;仿宋" w:eastAsia="仿宋_GB2312;仿宋"/>
          <w:sz w:val="30"/>
          <w:szCs w:val="30"/>
        </w:rPr>
        <w:t>万元；其他收入</w:t>
      </w:r>
      <w:r>
        <w:rPr>
          <w:rFonts w:eastAsia="仿宋_GB2312;仿宋" w:ascii="仿宋_GB2312;仿宋" w:hAnsi="仿宋_GB2312;仿宋"/>
          <w:sz w:val="30"/>
          <w:szCs w:val="30"/>
        </w:rPr>
        <w:t>51.34</w:t>
      </w:r>
      <w:r>
        <w:rPr>
          <w:rFonts w:ascii="仿宋_GB2312;仿宋" w:hAnsi="仿宋_GB2312;仿宋" w:eastAsia="仿宋_GB2312;仿宋"/>
          <w:sz w:val="30"/>
          <w:szCs w:val="30"/>
        </w:rPr>
        <w:t>万元，占总收入的</w:t>
      </w:r>
      <w:r>
        <w:rPr>
          <w:rFonts w:eastAsia="仿宋_GB2312;仿宋" w:ascii="仿宋_GB2312;仿宋" w:hAnsi="仿宋_GB2312;仿宋"/>
          <w:sz w:val="30"/>
          <w:szCs w:val="30"/>
        </w:rPr>
        <w:t>1.31%</w:t>
      </w:r>
      <w:r>
        <w:rPr>
          <w:rFonts w:ascii="仿宋_GB2312;仿宋" w:hAnsi="仿宋_GB2312;仿宋" w:eastAsia="仿宋_GB2312;仿宋"/>
          <w:sz w:val="30"/>
          <w:szCs w:val="30"/>
        </w:rPr>
        <w:t>。</w:t>
      </w:r>
    </w:p>
    <w:p>
      <w:pPr>
        <w:pStyle w:val="Normal"/>
        <w:snapToGrid w:val="false"/>
        <w:spacing w:lineRule="exact" w:line="560"/>
        <w:ind w:firstLine="538"/>
        <w:rPr>
          <w:rFonts w:ascii="仿宋_GB2312;仿宋" w:hAnsi="仿宋_GB2312;仿宋" w:eastAsia="仿宋_GB2312;仿宋"/>
          <w:sz w:val="30"/>
          <w:szCs w:val="30"/>
        </w:rPr>
      </w:pPr>
      <w:r>
        <w:rPr>
          <w:rFonts w:ascii="仿宋_GB2312;仿宋" w:hAnsi="仿宋_GB2312;仿宋" w:eastAsia="仿宋_GB2312;仿宋"/>
          <w:sz w:val="30"/>
          <w:szCs w:val="30"/>
        </w:rPr>
        <w:t>部门</w:t>
      </w:r>
      <w:r>
        <w:rPr>
          <w:rFonts w:eastAsia="仿宋_GB2312;仿宋" w:ascii="仿宋_GB2312;仿宋" w:hAnsi="仿宋_GB2312;仿宋"/>
          <w:sz w:val="30"/>
          <w:szCs w:val="30"/>
        </w:rPr>
        <w:t>2017</w:t>
      </w:r>
      <w:r>
        <w:rPr>
          <w:rFonts w:ascii="仿宋_GB2312;仿宋" w:hAnsi="仿宋_GB2312;仿宋" w:eastAsia="仿宋_GB2312;仿宋"/>
          <w:sz w:val="30"/>
          <w:szCs w:val="30"/>
        </w:rPr>
        <w:t>年总收入与</w:t>
      </w:r>
      <w:r>
        <w:rPr>
          <w:rFonts w:eastAsia="仿宋_GB2312;仿宋" w:ascii="仿宋_GB2312;仿宋" w:hAnsi="仿宋_GB2312;仿宋"/>
          <w:sz w:val="30"/>
          <w:szCs w:val="30"/>
        </w:rPr>
        <w:t>2016</w:t>
      </w:r>
      <w:r>
        <w:rPr>
          <w:rFonts w:ascii="仿宋_GB2312;仿宋" w:hAnsi="仿宋_GB2312;仿宋" w:eastAsia="仿宋_GB2312;仿宋"/>
          <w:sz w:val="30"/>
          <w:szCs w:val="30"/>
        </w:rPr>
        <w:t>年相比增加</w:t>
      </w:r>
      <w:r>
        <w:rPr>
          <w:rFonts w:eastAsia="仿宋_GB2312;仿宋" w:ascii="仿宋_GB2312;仿宋" w:hAnsi="仿宋_GB2312;仿宋"/>
          <w:sz w:val="30"/>
          <w:szCs w:val="30"/>
        </w:rPr>
        <w:t>575.47</w:t>
      </w:r>
      <w:r>
        <w:rPr>
          <w:rFonts w:ascii="仿宋_GB2312;仿宋" w:hAnsi="仿宋_GB2312;仿宋" w:eastAsia="仿宋_GB2312;仿宋"/>
          <w:sz w:val="30"/>
          <w:szCs w:val="30"/>
        </w:rPr>
        <w:t>万元，主要是全市创建国家食品安全示范城市食品安全监督抽验经费、“智慧</w:t>
      </w:r>
      <w:r>
        <w:rPr>
          <w:rFonts w:eastAsia="仿宋_GB2312;仿宋" w:ascii="仿宋_GB2312;仿宋" w:hAnsi="仿宋_GB2312;仿宋"/>
          <w:sz w:val="30"/>
          <w:szCs w:val="30"/>
        </w:rPr>
        <w:t>+</w:t>
      </w:r>
      <w:r>
        <w:rPr>
          <w:rFonts w:ascii="仿宋_GB2312;仿宋" w:hAnsi="仿宋_GB2312;仿宋" w:eastAsia="仿宋_GB2312;仿宋"/>
          <w:sz w:val="30"/>
          <w:szCs w:val="30"/>
        </w:rPr>
        <w:t>食品药品安全监管”信息化建设经费及人员工资调整等经费增加。</w:t>
      </w:r>
    </w:p>
    <w:p>
      <w:pPr>
        <w:pStyle w:val="Normal"/>
        <w:spacing w:lineRule="exact" w:line="560"/>
        <w:ind w:firstLine="600"/>
        <w:rPr>
          <w:rFonts w:ascii="黑体;SimHei" w:hAnsi="黑体;SimHei" w:eastAsia="黑体;SimHei" w:cs="黑体;SimHei"/>
          <w:sz w:val="30"/>
          <w:szCs w:val="30"/>
        </w:rPr>
      </w:pPr>
      <w:r>
        <w:rPr>
          <w:rFonts w:ascii="黑体;SimHei" w:hAnsi="黑体;SimHei" w:cs="黑体;SimHei" w:eastAsia="黑体;SimHei"/>
          <w:sz w:val="30"/>
          <w:szCs w:val="30"/>
        </w:rPr>
        <w:t>二、支出决算情况说明</w:t>
      </w:r>
    </w:p>
    <w:p>
      <w:pPr>
        <w:pStyle w:val="Normal"/>
        <w:spacing w:lineRule="exact" w:line="560"/>
        <w:ind w:firstLine="600"/>
        <w:rPr/>
      </w:pPr>
      <w:r>
        <w:rPr>
          <w:rFonts w:ascii="仿宋_GB2312;仿宋" w:hAnsi="仿宋_GB2312;仿宋" w:cs="Arial" w:eastAsia="仿宋_GB2312;仿宋"/>
          <w:kern w:val="0"/>
          <w:sz w:val="30"/>
          <w:szCs w:val="30"/>
        </w:rPr>
        <w:t>部门</w:t>
      </w:r>
      <w:r>
        <w:rPr>
          <w:rFonts w:eastAsia="仿宋_GB2312;仿宋" w:cs="Arial" w:ascii="仿宋_GB2312;仿宋" w:hAnsi="仿宋_GB2312;仿宋"/>
          <w:kern w:val="0"/>
          <w:sz w:val="30"/>
          <w:szCs w:val="30"/>
        </w:rPr>
        <w:t>2017</w:t>
      </w:r>
      <w:r>
        <w:rPr>
          <w:rFonts w:ascii="仿宋_GB2312;仿宋" w:hAnsi="仿宋_GB2312;仿宋" w:cs="Arial" w:eastAsia="仿宋_GB2312;仿宋"/>
          <w:kern w:val="0"/>
          <w:sz w:val="30"/>
          <w:szCs w:val="30"/>
        </w:rPr>
        <w:t>年度总支出</w:t>
      </w:r>
      <w:r>
        <w:rPr>
          <w:rFonts w:eastAsia="仿宋_GB2312;仿宋" w:ascii="仿宋_GB2312;仿宋" w:hAnsi="仿宋_GB2312;仿宋"/>
          <w:sz w:val="30"/>
          <w:szCs w:val="30"/>
        </w:rPr>
        <w:t>4,016.02</w:t>
      </w:r>
      <w:r>
        <w:rPr>
          <w:rFonts w:ascii="仿宋_GB2312;仿宋" w:hAnsi="仿宋_GB2312;仿宋" w:eastAsia="仿宋_GB2312;仿宋"/>
          <w:sz w:val="30"/>
          <w:szCs w:val="30"/>
        </w:rPr>
        <w:t>万元，其中：</w:t>
      </w:r>
      <w:r>
        <w:rPr>
          <w:rFonts w:ascii="仿宋_GB2312;仿宋" w:hAnsi="仿宋_GB2312;仿宋" w:cs="Arial" w:eastAsia="仿宋_GB2312;仿宋"/>
          <w:kern w:val="0"/>
          <w:sz w:val="30"/>
          <w:szCs w:val="30"/>
        </w:rPr>
        <w:t>基本支出</w:t>
      </w:r>
      <w:r>
        <w:rPr>
          <w:rFonts w:eastAsia="仿宋_GB2312;仿宋" w:ascii="仿宋_GB2312;仿宋" w:hAnsi="仿宋_GB2312;仿宋"/>
          <w:sz w:val="30"/>
          <w:szCs w:val="30"/>
        </w:rPr>
        <w:t>1,735.61</w:t>
      </w:r>
      <w:r>
        <w:rPr>
          <w:rFonts w:ascii="仿宋_GB2312;仿宋" w:hAnsi="仿宋_GB2312;仿宋" w:cs="Arial" w:eastAsia="仿宋_GB2312;仿宋"/>
          <w:kern w:val="0"/>
          <w:sz w:val="30"/>
          <w:szCs w:val="30"/>
        </w:rPr>
        <w:t>万元，占总支出的</w:t>
      </w:r>
      <w:r>
        <w:rPr>
          <w:rFonts w:eastAsia="仿宋_GB2312;仿宋" w:ascii="仿宋_GB2312;仿宋" w:hAnsi="仿宋_GB2312;仿宋"/>
          <w:sz w:val="30"/>
          <w:szCs w:val="30"/>
        </w:rPr>
        <w:t>43.22</w:t>
      </w:r>
      <w:r>
        <w:rPr>
          <w:rFonts w:ascii="仿宋_GB2312;仿宋" w:hAnsi="仿宋_GB2312;仿宋" w:cs="Arial" w:eastAsia="仿宋_GB2312;仿宋"/>
          <w:kern w:val="0"/>
          <w:sz w:val="30"/>
          <w:szCs w:val="30"/>
        </w:rPr>
        <w:t>％；项目支出</w:t>
      </w:r>
      <w:r>
        <w:rPr>
          <w:rFonts w:eastAsia="仿宋_GB2312;仿宋" w:ascii="仿宋_GB2312;仿宋" w:hAnsi="仿宋_GB2312;仿宋"/>
          <w:sz w:val="30"/>
          <w:szCs w:val="30"/>
        </w:rPr>
        <w:t>2,280.41</w:t>
      </w:r>
      <w:r>
        <w:rPr>
          <w:rFonts w:ascii="仿宋_GB2312;仿宋" w:hAnsi="仿宋_GB2312;仿宋" w:cs="Arial" w:eastAsia="仿宋_GB2312;仿宋"/>
          <w:kern w:val="0"/>
          <w:sz w:val="30"/>
          <w:szCs w:val="30"/>
        </w:rPr>
        <w:t>万元，占总支出的</w:t>
      </w:r>
      <w:r>
        <w:rPr>
          <w:rFonts w:eastAsia="仿宋_GB2312;仿宋" w:ascii="仿宋_GB2312;仿宋" w:hAnsi="仿宋_GB2312;仿宋"/>
          <w:sz w:val="30"/>
          <w:szCs w:val="30"/>
        </w:rPr>
        <w:t>56.78</w:t>
      </w:r>
      <w:r>
        <w:rPr>
          <w:rFonts w:ascii="仿宋_GB2312;仿宋" w:hAnsi="仿宋_GB2312;仿宋" w:cs="Arial" w:eastAsia="仿宋_GB2312;仿宋"/>
          <w:kern w:val="0"/>
          <w:sz w:val="30"/>
          <w:szCs w:val="30"/>
        </w:rPr>
        <w:t>％。</w:t>
      </w:r>
      <w:r>
        <w:rPr>
          <w:rFonts w:ascii="仿宋_GB2312;仿宋" w:hAnsi="仿宋_GB2312;仿宋" w:eastAsia="仿宋_GB2312;仿宋"/>
          <w:sz w:val="30"/>
          <w:szCs w:val="30"/>
        </w:rPr>
        <w:t xml:space="preserve"> </w:t>
      </w:r>
    </w:p>
    <w:p>
      <w:pPr>
        <w:pStyle w:val="Normal"/>
        <w:spacing w:lineRule="exact" w:line="560"/>
        <w:ind w:firstLine="600"/>
        <w:rPr/>
      </w:pPr>
      <w:r>
        <w:rPr>
          <w:rFonts w:ascii="仿宋_GB2312;仿宋" w:hAnsi="仿宋_GB2312;仿宋" w:cs="Arial" w:eastAsia="仿宋_GB2312;仿宋"/>
          <w:kern w:val="0"/>
          <w:sz w:val="30"/>
          <w:szCs w:val="30"/>
        </w:rPr>
        <w:t>部门</w:t>
      </w:r>
      <w:r>
        <w:rPr>
          <w:rFonts w:eastAsia="仿宋_GB2312;仿宋" w:cs="Arial" w:ascii="仿宋_GB2312;仿宋" w:hAnsi="仿宋_GB2312;仿宋"/>
          <w:kern w:val="0"/>
          <w:sz w:val="30"/>
          <w:szCs w:val="30"/>
        </w:rPr>
        <w:t>2016</w:t>
      </w:r>
      <w:r>
        <w:rPr>
          <w:rFonts w:ascii="仿宋_GB2312;仿宋" w:hAnsi="仿宋_GB2312;仿宋" w:cs="Arial" w:eastAsia="仿宋_GB2312;仿宋"/>
          <w:kern w:val="0"/>
          <w:sz w:val="30"/>
          <w:szCs w:val="30"/>
        </w:rPr>
        <w:t>年度总支出</w:t>
      </w:r>
      <w:r>
        <w:rPr>
          <w:rFonts w:eastAsia="仿宋_GB2312;仿宋" w:ascii="仿宋_GB2312;仿宋" w:hAnsi="仿宋_GB2312;仿宋"/>
          <w:sz w:val="30"/>
          <w:szCs w:val="30"/>
        </w:rPr>
        <w:t>2,537.20</w:t>
      </w:r>
      <w:r>
        <w:rPr>
          <w:rFonts w:ascii="仿宋_GB2312;仿宋" w:hAnsi="仿宋_GB2312;仿宋" w:eastAsia="仿宋_GB2312;仿宋"/>
          <w:sz w:val="30"/>
          <w:szCs w:val="30"/>
        </w:rPr>
        <w:t>万元，其中：</w:t>
      </w:r>
      <w:r>
        <w:rPr>
          <w:rFonts w:ascii="仿宋_GB2312;仿宋" w:hAnsi="仿宋_GB2312;仿宋" w:cs="Arial" w:eastAsia="仿宋_GB2312;仿宋"/>
          <w:kern w:val="0"/>
          <w:sz w:val="30"/>
          <w:szCs w:val="30"/>
        </w:rPr>
        <w:t>基本支出</w:t>
      </w:r>
      <w:r>
        <w:rPr>
          <w:rFonts w:eastAsia="仿宋_GB2312;仿宋" w:ascii="仿宋_GB2312;仿宋" w:hAnsi="仿宋_GB2312;仿宋"/>
          <w:sz w:val="30"/>
          <w:szCs w:val="30"/>
        </w:rPr>
        <w:t>1,254.73</w:t>
      </w:r>
      <w:r>
        <w:rPr>
          <w:rFonts w:ascii="仿宋_GB2312;仿宋" w:hAnsi="仿宋_GB2312;仿宋" w:cs="Arial" w:eastAsia="仿宋_GB2312;仿宋"/>
          <w:kern w:val="0"/>
          <w:sz w:val="30"/>
          <w:szCs w:val="30"/>
        </w:rPr>
        <w:t>万元，占总支出的</w:t>
      </w:r>
      <w:r>
        <w:rPr>
          <w:rFonts w:eastAsia="仿宋_GB2312;仿宋" w:ascii="仿宋_GB2312;仿宋" w:hAnsi="仿宋_GB2312;仿宋"/>
          <w:sz w:val="30"/>
          <w:szCs w:val="30"/>
        </w:rPr>
        <w:t>49.45</w:t>
      </w:r>
      <w:r>
        <w:rPr>
          <w:rFonts w:ascii="仿宋_GB2312;仿宋" w:hAnsi="仿宋_GB2312;仿宋" w:cs="Arial" w:eastAsia="仿宋_GB2312;仿宋"/>
          <w:kern w:val="0"/>
          <w:sz w:val="30"/>
          <w:szCs w:val="30"/>
        </w:rPr>
        <w:t>％；项目支出</w:t>
      </w:r>
      <w:r>
        <w:rPr>
          <w:rFonts w:eastAsia="仿宋_GB2312;仿宋" w:ascii="仿宋_GB2312;仿宋" w:hAnsi="仿宋_GB2312;仿宋"/>
          <w:sz w:val="30"/>
          <w:szCs w:val="30"/>
        </w:rPr>
        <w:t>1,282.47</w:t>
      </w:r>
      <w:r>
        <w:rPr>
          <w:rFonts w:ascii="仿宋_GB2312;仿宋" w:hAnsi="仿宋_GB2312;仿宋" w:cs="Arial" w:eastAsia="仿宋_GB2312;仿宋"/>
          <w:kern w:val="0"/>
          <w:sz w:val="30"/>
          <w:szCs w:val="30"/>
        </w:rPr>
        <w:t>万元，占总支出的</w:t>
      </w:r>
      <w:r>
        <w:rPr>
          <w:rFonts w:eastAsia="仿宋_GB2312;仿宋" w:ascii="仿宋_GB2312;仿宋" w:hAnsi="仿宋_GB2312;仿宋"/>
          <w:sz w:val="30"/>
          <w:szCs w:val="30"/>
        </w:rPr>
        <w:t>50.55</w:t>
      </w:r>
      <w:r>
        <w:rPr>
          <w:rFonts w:ascii="仿宋_GB2312;仿宋" w:hAnsi="仿宋_GB2312;仿宋" w:cs="Arial" w:eastAsia="仿宋_GB2312;仿宋"/>
          <w:kern w:val="0"/>
          <w:sz w:val="30"/>
          <w:szCs w:val="30"/>
        </w:rPr>
        <w:t>％。</w:t>
      </w:r>
      <w:r>
        <w:rPr>
          <w:rFonts w:ascii="仿宋_GB2312;仿宋" w:hAnsi="仿宋_GB2312;仿宋" w:eastAsia="仿宋_GB2312;仿宋"/>
          <w:sz w:val="30"/>
          <w:szCs w:val="30"/>
        </w:rPr>
        <w:t xml:space="preserve"> </w:t>
      </w:r>
    </w:p>
    <w:p>
      <w:pPr>
        <w:pStyle w:val="Normal"/>
        <w:snapToGrid w:val="false"/>
        <w:spacing w:lineRule="exact" w:line="560"/>
        <w:ind w:firstLine="538"/>
        <w:rPr>
          <w:rFonts w:ascii="仿宋_GB2312;仿宋" w:hAnsi="仿宋_GB2312;仿宋" w:eastAsia="仿宋_GB2312;仿宋"/>
          <w:sz w:val="30"/>
          <w:szCs w:val="30"/>
        </w:rPr>
      </w:pPr>
      <w:r>
        <w:rPr>
          <w:rFonts w:ascii="仿宋_GB2312;仿宋" w:hAnsi="仿宋_GB2312;仿宋" w:eastAsia="仿宋_GB2312;仿宋"/>
          <w:sz w:val="30"/>
          <w:szCs w:val="30"/>
        </w:rPr>
        <w:t>部门</w:t>
      </w:r>
      <w:r>
        <w:rPr>
          <w:rFonts w:eastAsia="仿宋_GB2312;仿宋" w:ascii="仿宋_GB2312;仿宋" w:hAnsi="仿宋_GB2312;仿宋"/>
          <w:sz w:val="30"/>
          <w:szCs w:val="30"/>
        </w:rPr>
        <w:t>2017</w:t>
      </w:r>
      <w:r>
        <w:rPr>
          <w:rFonts w:ascii="仿宋_GB2312;仿宋" w:hAnsi="仿宋_GB2312;仿宋" w:eastAsia="仿宋_GB2312;仿宋"/>
          <w:sz w:val="30"/>
          <w:szCs w:val="30"/>
        </w:rPr>
        <w:t>年度总收入与</w:t>
      </w:r>
      <w:r>
        <w:rPr>
          <w:rFonts w:eastAsia="仿宋_GB2312;仿宋" w:ascii="仿宋_GB2312;仿宋" w:hAnsi="仿宋_GB2312;仿宋"/>
          <w:sz w:val="30"/>
          <w:szCs w:val="30"/>
        </w:rPr>
        <w:t>2016</w:t>
      </w:r>
      <w:r>
        <w:rPr>
          <w:rFonts w:ascii="仿宋_GB2312;仿宋" w:hAnsi="仿宋_GB2312;仿宋" w:eastAsia="仿宋_GB2312;仿宋"/>
          <w:sz w:val="30"/>
          <w:szCs w:val="30"/>
        </w:rPr>
        <w:t>年度相比增加</w:t>
      </w:r>
      <w:r>
        <w:rPr>
          <w:rFonts w:eastAsia="仿宋_GB2312;仿宋" w:ascii="仿宋_GB2312;仿宋" w:hAnsi="仿宋_GB2312;仿宋"/>
          <w:sz w:val="30"/>
          <w:szCs w:val="30"/>
        </w:rPr>
        <w:t>1,478.82</w:t>
      </w:r>
      <w:r>
        <w:rPr>
          <w:rFonts w:ascii="仿宋_GB2312;仿宋" w:hAnsi="仿宋_GB2312;仿宋" w:eastAsia="仿宋_GB2312;仿宋"/>
          <w:sz w:val="30"/>
          <w:szCs w:val="30"/>
        </w:rPr>
        <w:t>万元，主要是市级创建国家食品安全示范城市食品安全监督抽验支出</w:t>
      </w:r>
      <w:r>
        <w:rPr>
          <w:rFonts w:eastAsia="仿宋_GB2312;仿宋" w:ascii="仿宋_GB2312;仿宋" w:hAnsi="仿宋_GB2312;仿宋"/>
          <w:sz w:val="30"/>
          <w:szCs w:val="30"/>
        </w:rPr>
        <w:t>861.00</w:t>
      </w:r>
      <w:r>
        <w:rPr>
          <w:rFonts w:ascii="仿宋_GB2312;仿宋" w:hAnsi="仿宋_GB2312;仿宋" w:eastAsia="仿宋_GB2312;仿宋"/>
          <w:sz w:val="30"/>
          <w:szCs w:val="30"/>
        </w:rPr>
        <w:t>万元、中央投资的市食品检验检测中心建设支出</w:t>
      </w:r>
      <w:r>
        <w:rPr>
          <w:rFonts w:eastAsia="仿宋_GB2312;仿宋" w:ascii="仿宋_GB2312;仿宋" w:hAnsi="仿宋_GB2312;仿宋"/>
          <w:sz w:val="30"/>
          <w:szCs w:val="30"/>
        </w:rPr>
        <w:t>421.81</w:t>
      </w:r>
      <w:r>
        <w:rPr>
          <w:rFonts w:ascii="仿宋_GB2312;仿宋" w:hAnsi="仿宋_GB2312;仿宋" w:eastAsia="仿宋_GB2312;仿宋"/>
          <w:sz w:val="30"/>
          <w:szCs w:val="30"/>
        </w:rPr>
        <w:t>万元及人员工资调整、养老保险等支出增加。</w:t>
      </w:r>
    </w:p>
    <w:p>
      <w:pPr>
        <w:pStyle w:val="Normal"/>
        <w:snapToGrid w:val="false"/>
        <w:spacing w:lineRule="exact" w:line="560"/>
        <w:ind w:firstLine="600"/>
        <w:rPr>
          <w:rFonts w:ascii="楷体" w:hAnsi="楷体" w:eastAsia="楷体" w:cs="楷体"/>
          <w:sz w:val="30"/>
          <w:szCs w:val="30"/>
        </w:rPr>
      </w:pPr>
      <w:r>
        <w:rPr>
          <w:rFonts w:ascii="楷体" w:hAnsi="楷体" w:cs="楷体" w:eastAsia="楷体"/>
          <w:sz w:val="30"/>
          <w:szCs w:val="30"/>
        </w:rPr>
        <w:t>（一）基本支出情况。</w:t>
      </w:r>
    </w:p>
    <w:p>
      <w:pPr>
        <w:pStyle w:val="Normal"/>
        <w:snapToGrid w:val="false"/>
        <w:spacing w:lineRule="exact" w:line="560"/>
        <w:ind w:firstLine="600"/>
        <w:rPr/>
      </w:pPr>
      <w:r>
        <w:rPr>
          <w:rFonts w:eastAsia="仿宋_GB2312;仿宋" w:ascii="仿宋_GB2312;仿宋" w:hAnsi="仿宋_GB2312;仿宋"/>
          <w:sz w:val="30"/>
          <w:szCs w:val="30"/>
        </w:rPr>
        <w:t>2017</w:t>
      </w:r>
      <w:r>
        <w:rPr>
          <w:rFonts w:ascii="仿宋_GB2312;仿宋" w:hAnsi="仿宋_GB2312;仿宋" w:eastAsia="仿宋_GB2312;仿宋"/>
          <w:sz w:val="30"/>
          <w:szCs w:val="30"/>
        </w:rPr>
        <w:t>年度用于保障局机关、下属事业单位等机构正常运转的日常支出</w:t>
      </w:r>
      <w:r>
        <w:rPr>
          <w:rFonts w:eastAsia="仿宋_GB2312;仿宋" w:ascii="仿宋_GB2312;仿宋" w:hAnsi="仿宋_GB2312;仿宋"/>
          <w:sz w:val="30"/>
          <w:szCs w:val="30"/>
        </w:rPr>
        <w:t>1,735.61</w:t>
      </w:r>
      <w:r>
        <w:rPr>
          <w:rFonts w:ascii="仿宋_GB2312;仿宋" w:hAnsi="仿宋_GB2312;仿宋" w:eastAsia="仿宋_GB2312;仿宋"/>
          <w:sz w:val="30"/>
          <w:szCs w:val="30"/>
        </w:rPr>
        <w:t>万元。与上年</w:t>
      </w:r>
      <w:r>
        <w:rPr>
          <w:rFonts w:eastAsia="仿宋_GB2312;仿宋" w:ascii="仿宋_GB2312;仿宋" w:hAnsi="仿宋_GB2312;仿宋"/>
          <w:sz w:val="30"/>
          <w:szCs w:val="30"/>
        </w:rPr>
        <w:t>1,254.73</w:t>
      </w:r>
      <w:r>
        <w:rPr>
          <w:rFonts w:ascii="仿宋_GB2312;仿宋" w:hAnsi="仿宋_GB2312;仿宋" w:eastAsia="仿宋_GB2312;仿宋"/>
          <w:sz w:val="30"/>
          <w:szCs w:val="30"/>
        </w:rPr>
        <w:t>万元相比增加</w:t>
      </w:r>
      <w:r>
        <w:rPr>
          <w:rFonts w:eastAsia="仿宋_GB2312;仿宋" w:ascii="仿宋_GB2312;仿宋" w:hAnsi="仿宋_GB2312;仿宋"/>
          <w:sz w:val="30"/>
          <w:szCs w:val="30"/>
        </w:rPr>
        <w:t>480.89</w:t>
      </w:r>
      <w:r>
        <w:rPr>
          <w:rFonts w:ascii="仿宋_GB2312;仿宋" w:hAnsi="仿宋_GB2312;仿宋" w:eastAsia="仿宋_GB2312;仿宋"/>
          <w:sz w:val="30"/>
          <w:szCs w:val="30"/>
        </w:rPr>
        <w:t>万元，主要原因：</w:t>
      </w:r>
      <w:r>
        <w:rPr>
          <w:rFonts w:ascii="仿宋_GB2312;仿宋" w:hAnsi="仿宋_GB2312;仿宋" w:eastAsia="仿宋_GB2312;仿宋"/>
          <w:sz w:val="32"/>
          <w:szCs w:val="32"/>
        </w:rPr>
        <w:t>人员工资、养老保险增加</w:t>
      </w:r>
      <w:r>
        <w:rPr>
          <w:rFonts w:ascii="仿宋_GB2312;仿宋" w:hAnsi="仿宋_GB2312;仿宋" w:eastAsia="仿宋_GB2312;仿宋"/>
          <w:sz w:val="30"/>
          <w:szCs w:val="30"/>
        </w:rPr>
        <w:t>。其中：基本工资、津贴补贴等人员经费支出</w:t>
      </w:r>
      <w:r>
        <w:rPr>
          <w:rFonts w:eastAsia="仿宋_GB2312;仿宋" w:ascii="仿宋_GB2312;仿宋" w:hAnsi="仿宋_GB2312;仿宋"/>
          <w:sz w:val="30"/>
          <w:szCs w:val="30"/>
        </w:rPr>
        <w:t>1,584.03</w:t>
      </w:r>
      <w:r>
        <w:rPr>
          <w:rFonts w:ascii="仿宋_GB2312;仿宋" w:hAnsi="仿宋_GB2312;仿宋" w:eastAsia="仿宋_GB2312;仿宋"/>
          <w:sz w:val="30"/>
          <w:szCs w:val="30"/>
        </w:rPr>
        <w:t>万元，占基本支出的</w:t>
      </w:r>
      <w:r>
        <w:rPr>
          <w:rFonts w:eastAsia="仿宋_GB2312;仿宋" w:ascii="仿宋_GB2312;仿宋" w:hAnsi="仿宋_GB2312;仿宋"/>
          <w:sz w:val="30"/>
          <w:szCs w:val="30"/>
        </w:rPr>
        <w:t>91.27</w:t>
      </w:r>
      <w:r>
        <w:rPr>
          <w:rFonts w:ascii="仿宋_GB2312;仿宋" w:hAnsi="仿宋_GB2312;仿宋" w:eastAsia="仿宋_GB2312;仿宋"/>
          <w:sz w:val="30"/>
          <w:szCs w:val="30"/>
        </w:rPr>
        <w:t>％；办公费、水电费、差旅费、维护费、培训费等日常公用经费</w:t>
      </w:r>
      <w:r>
        <w:rPr>
          <w:rFonts w:eastAsia="仿宋_GB2312;仿宋" w:ascii="仿宋_GB2312;仿宋" w:hAnsi="仿宋_GB2312;仿宋"/>
          <w:sz w:val="30"/>
          <w:szCs w:val="30"/>
        </w:rPr>
        <w:t>151.58</w:t>
      </w:r>
      <w:r>
        <w:rPr>
          <w:rFonts w:ascii="仿宋_GB2312;仿宋" w:hAnsi="仿宋_GB2312;仿宋" w:eastAsia="仿宋_GB2312;仿宋"/>
          <w:sz w:val="30"/>
          <w:szCs w:val="30"/>
        </w:rPr>
        <w:t>万元占基本支出的</w:t>
      </w:r>
      <w:r>
        <w:rPr>
          <w:rFonts w:eastAsia="仿宋_GB2312;仿宋" w:ascii="仿宋_GB2312;仿宋" w:hAnsi="仿宋_GB2312;仿宋"/>
          <w:sz w:val="30"/>
          <w:szCs w:val="30"/>
        </w:rPr>
        <w:t>8.73</w:t>
      </w:r>
      <w:r>
        <w:rPr>
          <w:rFonts w:ascii="仿宋_GB2312;仿宋" w:hAnsi="仿宋_GB2312;仿宋" w:eastAsia="仿宋_GB2312;仿宋"/>
          <w:sz w:val="30"/>
          <w:szCs w:val="30"/>
        </w:rPr>
        <w:t>％。</w:t>
      </w:r>
    </w:p>
    <w:p>
      <w:pPr>
        <w:pStyle w:val="Normal"/>
        <w:snapToGrid w:val="false"/>
        <w:spacing w:lineRule="exact" w:line="560"/>
        <w:ind w:firstLine="600"/>
        <w:rPr>
          <w:rFonts w:ascii="楷体" w:hAnsi="楷体" w:eastAsia="楷体" w:cs="楷体"/>
          <w:sz w:val="30"/>
          <w:szCs w:val="30"/>
        </w:rPr>
      </w:pPr>
      <w:r>
        <w:rPr>
          <w:rFonts w:ascii="楷体" w:hAnsi="楷体" w:cs="楷体" w:eastAsia="楷体"/>
          <w:sz w:val="30"/>
          <w:szCs w:val="30"/>
        </w:rPr>
        <w:t>（二）项目支出情况</w:t>
      </w:r>
    </w:p>
    <w:p>
      <w:pPr>
        <w:pStyle w:val="Normal"/>
        <w:snapToGrid w:val="false"/>
        <w:spacing w:lineRule="exact" w:line="560"/>
        <w:ind w:firstLine="600"/>
        <w:rPr>
          <w:rFonts w:ascii="仿宋_GB2312;仿宋" w:hAnsi="仿宋_GB2312;仿宋" w:eastAsia="仿宋_GB2312;仿宋"/>
          <w:sz w:val="30"/>
          <w:szCs w:val="30"/>
        </w:rPr>
      </w:pPr>
      <w:r>
        <w:rPr>
          <w:rFonts w:eastAsia="仿宋_GB2312;仿宋" w:ascii="仿宋_GB2312;仿宋" w:hAnsi="仿宋_GB2312;仿宋"/>
          <w:sz w:val="30"/>
          <w:szCs w:val="30"/>
        </w:rPr>
        <w:t>2017</w:t>
      </w:r>
      <w:r>
        <w:rPr>
          <w:rFonts w:ascii="仿宋_GB2312;仿宋" w:hAnsi="仿宋_GB2312;仿宋" w:eastAsia="仿宋_GB2312;仿宋"/>
          <w:sz w:val="30"/>
          <w:szCs w:val="30"/>
        </w:rPr>
        <w:t>年度用于保障局机关、下属事业单位为完成国家食品安全示范城市创建、食品药品安全监管、食品药品安全检验检测、食品药品重大案件查办等工作任务的专项经费支出</w:t>
      </w:r>
      <w:r>
        <w:rPr>
          <w:rFonts w:eastAsia="仿宋_GB2312;仿宋" w:ascii="仿宋_GB2312;仿宋" w:hAnsi="仿宋_GB2312;仿宋"/>
          <w:sz w:val="30"/>
          <w:szCs w:val="30"/>
        </w:rPr>
        <w:t>2,280.41</w:t>
      </w:r>
      <w:r>
        <w:rPr>
          <w:rFonts w:ascii="仿宋_GB2312;仿宋" w:hAnsi="仿宋_GB2312;仿宋" w:eastAsia="仿宋_GB2312;仿宋"/>
          <w:sz w:val="30"/>
          <w:szCs w:val="30"/>
        </w:rPr>
        <w:t>万元。与上年</w:t>
      </w:r>
      <w:r>
        <w:rPr>
          <w:rFonts w:eastAsia="仿宋_GB2312;仿宋" w:ascii="仿宋_GB2312;仿宋" w:hAnsi="仿宋_GB2312;仿宋"/>
          <w:sz w:val="30"/>
          <w:szCs w:val="30"/>
        </w:rPr>
        <w:t>1,282.47</w:t>
      </w:r>
      <w:r>
        <w:rPr>
          <w:rFonts w:ascii="仿宋_GB2312;仿宋" w:hAnsi="仿宋_GB2312;仿宋" w:eastAsia="仿宋_GB2312;仿宋"/>
          <w:sz w:val="30"/>
          <w:szCs w:val="30"/>
        </w:rPr>
        <w:t>万元相比增加</w:t>
      </w:r>
      <w:r>
        <w:rPr>
          <w:rFonts w:eastAsia="仿宋_GB2312;仿宋" w:ascii="仿宋_GB2312;仿宋" w:hAnsi="仿宋_GB2312;仿宋"/>
          <w:sz w:val="30"/>
          <w:szCs w:val="30"/>
        </w:rPr>
        <w:t>997.94</w:t>
      </w:r>
      <w:r>
        <w:rPr>
          <w:rFonts w:ascii="仿宋_GB2312;仿宋" w:hAnsi="仿宋_GB2312;仿宋" w:eastAsia="仿宋_GB2312;仿宋"/>
          <w:sz w:val="30"/>
          <w:szCs w:val="30"/>
        </w:rPr>
        <w:t>万元。主要原因：全市开展创建国家食品安全示范城市食品安全监督抽验经费及中央投资的市食品检验检测中心建设经费增加</w:t>
      </w:r>
      <w:r>
        <w:rPr>
          <w:rFonts w:ascii="仿宋_GB2312;仿宋" w:hAnsi="仿宋_GB2312;仿宋" w:cs="Arial" w:eastAsia="仿宋_GB2312;仿宋"/>
          <w:kern w:val="0"/>
          <w:sz w:val="30"/>
          <w:szCs w:val="30"/>
        </w:rPr>
        <w:t>。</w:t>
      </w:r>
    </w:p>
    <w:p>
      <w:pPr>
        <w:pStyle w:val="Normal"/>
        <w:snapToGrid w:val="false"/>
        <w:spacing w:lineRule="exact" w:line="560"/>
        <w:ind w:firstLine="600"/>
        <w:rPr>
          <w:rFonts w:ascii="黑体;SimHei" w:hAnsi="黑体;SimHei" w:eastAsia="黑体;SimHei" w:cs="黑体;SimHei"/>
          <w:sz w:val="30"/>
          <w:szCs w:val="30"/>
        </w:rPr>
      </w:pPr>
      <w:r>
        <w:rPr>
          <w:rFonts w:ascii="黑体;SimHei" w:hAnsi="黑体;SimHei" w:cs="黑体;SimHei" w:eastAsia="黑体;SimHei"/>
          <w:sz w:val="30"/>
          <w:szCs w:val="30"/>
        </w:rPr>
        <w:t>三、一般公共预算财政拨款支出决算情况说明</w:t>
      </w:r>
    </w:p>
    <w:p>
      <w:pPr>
        <w:pStyle w:val="Normal"/>
        <w:snapToGrid w:val="false"/>
        <w:spacing w:lineRule="exact" w:line="560"/>
        <w:ind w:firstLine="600"/>
        <w:rPr>
          <w:rFonts w:ascii="楷体" w:hAnsi="楷体" w:eastAsia="楷体" w:cs="楷体"/>
          <w:sz w:val="30"/>
          <w:szCs w:val="30"/>
        </w:rPr>
      </w:pPr>
      <w:r>
        <w:rPr>
          <w:rFonts w:ascii="楷体" w:hAnsi="楷体" w:cs="楷体" w:eastAsia="楷体"/>
          <w:sz w:val="30"/>
          <w:szCs w:val="30"/>
        </w:rPr>
        <w:t>（一）一般公共预算财政拨款支出决算总体情况</w:t>
      </w:r>
    </w:p>
    <w:p>
      <w:pPr>
        <w:pStyle w:val="Normal"/>
        <w:snapToGrid w:val="false"/>
        <w:spacing w:lineRule="exact" w:line="560"/>
        <w:ind w:firstLine="600"/>
        <w:rPr>
          <w:rFonts w:ascii="仿宋_GB2312;仿宋" w:hAnsi="仿宋_GB2312;仿宋" w:eastAsia="仿宋_GB2312;仿宋"/>
          <w:sz w:val="30"/>
          <w:szCs w:val="30"/>
        </w:rPr>
      </w:pPr>
      <w:r>
        <w:rPr>
          <w:rFonts w:ascii="仿宋_GB2312;仿宋" w:hAnsi="仿宋_GB2312;仿宋" w:eastAsia="仿宋_GB2312;仿宋"/>
          <w:sz w:val="30"/>
          <w:szCs w:val="30"/>
        </w:rPr>
        <w:t>部门</w:t>
      </w:r>
      <w:r>
        <w:rPr>
          <w:rFonts w:eastAsia="仿宋_GB2312;仿宋" w:ascii="仿宋_GB2312;仿宋" w:hAnsi="仿宋_GB2312;仿宋"/>
          <w:sz w:val="30"/>
          <w:szCs w:val="30"/>
        </w:rPr>
        <w:t>2017</w:t>
      </w:r>
      <w:r>
        <w:rPr>
          <w:rFonts w:ascii="仿宋_GB2312;仿宋" w:hAnsi="仿宋_GB2312;仿宋" w:eastAsia="仿宋_GB2312;仿宋"/>
          <w:sz w:val="30"/>
          <w:szCs w:val="30"/>
        </w:rPr>
        <w:t>年度一般公共预算财政拨款支出</w:t>
      </w:r>
      <w:r>
        <w:rPr>
          <w:rFonts w:eastAsia="仿宋_GB2312;仿宋" w:ascii="仿宋_GB2312;仿宋" w:hAnsi="仿宋_GB2312;仿宋"/>
          <w:sz w:val="30"/>
          <w:szCs w:val="30"/>
        </w:rPr>
        <w:t>3</w:t>
      </w:r>
      <w:r>
        <w:rPr>
          <w:rFonts w:eastAsia="仿宋_GB2312;仿宋" w:cs="Arial" w:ascii="仿宋_GB2312;仿宋" w:hAnsi="仿宋_GB2312;仿宋"/>
          <w:kern w:val="0"/>
          <w:sz w:val="30"/>
          <w:szCs w:val="30"/>
        </w:rPr>
        <w:t>,929.51</w:t>
      </w:r>
      <w:r>
        <w:rPr>
          <w:rFonts w:ascii="仿宋_GB2312;仿宋" w:hAnsi="仿宋_GB2312;仿宋" w:cs="Arial" w:eastAsia="仿宋_GB2312;仿宋"/>
          <w:kern w:val="0"/>
          <w:sz w:val="30"/>
          <w:szCs w:val="30"/>
        </w:rPr>
        <w:t>万元</w:t>
      </w:r>
      <w:r>
        <w:rPr>
          <w:rFonts w:eastAsia="仿宋_GB2312;仿宋" w:cs="Arial" w:ascii="仿宋_GB2312;仿宋" w:hAnsi="仿宋_GB2312;仿宋"/>
          <w:kern w:val="0"/>
          <w:sz w:val="30"/>
          <w:szCs w:val="30"/>
        </w:rPr>
        <w:t>,</w:t>
      </w:r>
      <w:r>
        <w:rPr>
          <w:rFonts w:ascii="仿宋_GB2312;仿宋" w:hAnsi="仿宋_GB2312;仿宋" w:cs="Arial" w:eastAsia="仿宋_GB2312;仿宋"/>
          <w:kern w:val="0"/>
          <w:sz w:val="30"/>
          <w:szCs w:val="30"/>
        </w:rPr>
        <w:t>占本年支出合计的</w:t>
      </w:r>
      <w:r>
        <w:rPr>
          <w:rFonts w:eastAsia="仿宋_GB2312;仿宋" w:ascii="仿宋_GB2312;仿宋" w:hAnsi="仿宋_GB2312;仿宋"/>
          <w:sz w:val="30"/>
          <w:szCs w:val="30"/>
        </w:rPr>
        <w:t>97.85</w:t>
      </w:r>
      <w:r>
        <w:rPr>
          <w:rFonts w:eastAsia="仿宋_GB2312;仿宋" w:cs="Arial" w:ascii="仿宋_GB2312;仿宋" w:hAnsi="仿宋_GB2312;仿宋"/>
          <w:kern w:val="0"/>
          <w:sz w:val="30"/>
          <w:szCs w:val="30"/>
        </w:rPr>
        <w:t>%</w:t>
      </w:r>
      <w:r>
        <w:rPr>
          <w:rFonts w:ascii="仿宋_GB2312;仿宋" w:hAnsi="仿宋_GB2312;仿宋" w:cs="Arial" w:eastAsia="仿宋_GB2312;仿宋"/>
          <w:kern w:val="0"/>
          <w:sz w:val="30"/>
          <w:szCs w:val="30"/>
        </w:rPr>
        <w:t>。</w:t>
      </w:r>
      <w:r>
        <w:rPr>
          <w:rFonts w:eastAsia="仿宋_GB2312;仿宋" w:ascii="仿宋_GB2312;仿宋" w:hAnsi="仿宋_GB2312;仿宋"/>
          <w:sz w:val="30"/>
          <w:szCs w:val="30"/>
        </w:rPr>
        <w:t>2016</w:t>
      </w:r>
      <w:r>
        <w:rPr>
          <w:rFonts w:ascii="仿宋_GB2312;仿宋" w:hAnsi="仿宋_GB2312;仿宋" w:eastAsia="仿宋_GB2312;仿宋"/>
          <w:sz w:val="30"/>
          <w:szCs w:val="30"/>
        </w:rPr>
        <w:t>年度一般公共预算财政拨款支</w:t>
      </w:r>
      <w:r>
        <w:rPr>
          <w:rFonts w:eastAsia="仿宋_GB2312;仿宋" w:cs="Arial" w:ascii="仿宋_GB2312;仿宋" w:hAnsi="仿宋_GB2312;仿宋"/>
          <w:kern w:val="0"/>
          <w:sz w:val="30"/>
          <w:szCs w:val="30"/>
        </w:rPr>
        <w:t>2,440.22</w:t>
      </w:r>
      <w:r>
        <w:rPr>
          <w:rFonts w:ascii="仿宋_GB2312;仿宋" w:hAnsi="仿宋_GB2312;仿宋" w:cs="Arial" w:eastAsia="仿宋_GB2312;仿宋"/>
          <w:kern w:val="0"/>
          <w:sz w:val="30"/>
          <w:szCs w:val="30"/>
        </w:rPr>
        <w:t>万元</w:t>
      </w:r>
      <w:r>
        <w:rPr>
          <w:rFonts w:eastAsia="仿宋_GB2312;仿宋" w:cs="Arial" w:ascii="仿宋_GB2312;仿宋" w:hAnsi="仿宋_GB2312;仿宋"/>
          <w:kern w:val="0"/>
          <w:sz w:val="30"/>
          <w:szCs w:val="30"/>
        </w:rPr>
        <w:t>,</w:t>
      </w:r>
      <w:r>
        <w:rPr>
          <w:rFonts w:ascii="仿宋_GB2312;仿宋" w:hAnsi="仿宋_GB2312;仿宋" w:cs="Arial" w:eastAsia="仿宋_GB2312;仿宋"/>
          <w:kern w:val="0"/>
          <w:sz w:val="30"/>
          <w:szCs w:val="30"/>
        </w:rPr>
        <w:t>占本年支出的</w:t>
      </w:r>
      <w:r>
        <w:rPr>
          <w:rFonts w:eastAsia="仿宋_GB2312;仿宋" w:ascii="仿宋_GB2312;仿宋" w:hAnsi="仿宋_GB2312;仿宋"/>
          <w:sz w:val="30"/>
          <w:szCs w:val="30"/>
        </w:rPr>
        <w:t>96.18</w:t>
      </w:r>
      <w:r>
        <w:rPr>
          <w:rFonts w:eastAsia="仿宋_GB2312;仿宋" w:cs="Arial" w:ascii="仿宋_GB2312;仿宋" w:hAnsi="仿宋_GB2312;仿宋"/>
          <w:kern w:val="0"/>
          <w:sz w:val="30"/>
          <w:szCs w:val="30"/>
        </w:rPr>
        <w:t>%</w:t>
      </w:r>
      <w:r>
        <w:rPr>
          <w:rFonts w:ascii="仿宋_GB2312;仿宋" w:hAnsi="仿宋_GB2312;仿宋" w:cs="Arial" w:eastAsia="仿宋_GB2312;仿宋"/>
          <w:kern w:val="0"/>
          <w:sz w:val="30"/>
          <w:szCs w:val="30"/>
        </w:rPr>
        <w:t>。</w:t>
      </w:r>
    </w:p>
    <w:p>
      <w:pPr>
        <w:pStyle w:val="Normal"/>
        <w:snapToGrid w:val="false"/>
        <w:spacing w:lineRule="exact" w:line="560"/>
        <w:ind w:firstLine="600"/>
        <w:rPr/>
      </w:pPr>
      <w:r>
        <w:rPr>
          <w:rFonts w:eastAsia="仿宋_GB2312;仿宋" w:ascii="仿宋_GB2312;仿宋" w:hAnsi="仿宋_GB2312;仿宋"/>
          <w:sz w:val="30"/>
          <w:szCs w:val="30"/>
        </w:rPr>
        <w:t>2017</w:t>
      </w:r>
      <w:r>
        <w:rPr>
          <w:rFonts w:ascii="仿宋_GB2312;仿宋" w:hAnsi="仿宋_GB2312;仿宋" w:eastAsia="仿宋_GB2312;仿宋"/>
          <w:sz w:val="30"/>
          <w:szCs w:val="30"/>
        </w:rPr>
        <w:t>年度一般公共预算财政拨款支出</w:t>
      </w:r>
      <w:r>
        <w:rPr>
          <w:rFonts w:ascii="仿宋_GB2312;仿宋" w:hAnsi="仿宋_GB2312;仿宋" w:cs="Arial" w:eastAsia="仿宋_GB2312;仿宋"/>
          <w:kern w:val="0"/>
          <w:sz w:val="30"/>
          <w:szCs w:val="30"/>
        </w:rPr>
        <w:t>与</w:t>
      </w:r>
      <w:r>
        <w:rPr>
          <w:rFonts w:eastAsia="仿宋_GB2312;仿宋" w:cs="Arial" w:ascii="仿宋_GB2312;仿宋" w:hAnsi="仿宋_GB2312;仿宋"/>
          <w:kern w:val="0"/>
          <w:sz w:val="30"/>
          <w:szCs w:val="30"/>
        </w:rPr>
        <w:t>2016</w:t>
      </w:r>
      <w:r>
        <w:rPr>
          <w:rFonts w:ascii="仿宋_GB2312;仿宋" w:hAnsi="仿宋_GB2312;仿宋" w:cs="Arial" w:eastAsia="仿宋_GB2312;仿宋"/>
          <w:kern w:val="0"/>
          <w:sz w:val="30"/>
          <w:szCs w:val="30"/>
        </w:rPr>
        <w:t>年相比增加</w:t>
      </w:r>
      <w:r>
        <w:rPr>
          <w:rFonts w:eastAsia="仿宋_GB2312;仿宋" w:cs="Arial" w:ascii="仿宋_GB2312;仿宋" w:hAnsi="仿宋_GB2312;仿宋"/>
          <w:kern w:val="0"/>
          <w:sz w:val="30"/>
          <w:szCs w:val="30"/>
        </w:rPr>
        <w:t>1,489.29</w:t>
      </w:r>
      <w:r>
        <w:rPr>
          <w:rFonts w:ascii="仿宋_GB2312;仿宋" w:hAnsi="仿宋_GB2312;仿宋" w:cs="Arial" w:eastAsia="仿宋_GB2312;仿宋"/>
          <w:kern w:val="0"/>
          <w:sz w:val="30"/>
          <w:szCs w:val="30"/>
        </w:rPr>
        <w:t>万元</w:t>
      </w:r>
      <w:r>
        <w:rPr>
          <w:rFonts w:eastAsia="仿宋_GB2312;仿宋" w:ascii="仿宋_GB2312;仿宋" w:hAnsi="仿宋_GB2312;仿宋"/>
          <w:sz w:val="30"/>
          <w:szCs w:val="30"/>
        </w:rPr>
        <w:t>,</w:t>
      </w:r>
      <w:r>
        <w:rPr>
          <w:rFonts w:ascii="仿宋_GB2312;仿宋" w:hAnsi="仿宋_GB2312;仿宋" w:eastAsia="仿宋_GB2312;仿宋"/>
          <w:sz w:val="30"/>
          <w:szCs w:val="30"/>
        </w:rPr>
        <w:t>主要</w:t>
      </w:r>
      <w:r>
        <w:rPr>
          <w:rFonts w:ascii="仿宋_GB2312;仿宋" w:hAnsi="仿宋_GB2312;仿宋" w:cs="Arial" w:eastAsia="仿宋_GB2312;仿宋"/>
          <w:kern w:val="0"/>
          <w:sz w:val="30"/>
          <w:szCs w:val="30"/>
        </w:rPr>
        <w:t>原因</w:t>
      </w:r>
      <w:r>
        <w:rPr>
          <w:rFonts w:eastAsia="仿宋_GB2312;仿宋" w:cs="Arial" w:ascii="仿宋_GB2312;仿宋" w:hAnsi="仿宋_GB2312;仿宋"/>
          <w:kern w:val="0"/>
          <w:sz w:val="30"/>
          <w:szCs w:val="30"/>
        </w:rPr>
        <w:t>:</w:t>
      </w:r>
      <w:r>
        <w:rPr>
          <w:rFonts w:eastAsia="仿宋_GB2312;仿宋" w:ascii="仿宋_GB2312;仿宋" w:hAnsi="仿宋_GB2312;仿宋"/>
          <w:sz w:val="30"/>
          <w:szCs w:val="30"/>
        </w:rPr>
        <w:t xml:space="preserve"> </w:t>
      </w:r>
      <w:r>
        <w:rPr>
          <w:rFonts w:ascii="仿宋_GB2312;仿宋" w:hAnsi="仿宋_GB2312;仿宋" w:eastAsia="仿宋_GB2312;仿宋"/>
          <w:sz w:val="30"/>
          <w:szCs w:val="30"/>
        </w:rPr>
        <w:t>全市开展创建国家食品安全示范城市食品安全监督抽验经费及中央投资的市食品检验检测中心建设经费增加，人员工资、养老保险增加。</w:t>
      </w:r>
    </w:p>
    <w:p>
      <w:pPr>
        <w:pStyle w:val="Normal"/>
        <w:snapToGrid w:val="false"/>
        <w:spacing w:lineRule="exact" w:line="560"/>
        <w:ind w:firstLine="600"/>
        <w:rPr>
          <w:rFonts w:ascii="仿宋_GB2312;仿宋" w:hAnsi="仿宋_GB2312;仿宋" w:eastAsia="仿宋_GB2312;仿宋"/>
          <w:sz w:val="30"/>
          <w:szCs w:val="30"/>
        </w:rPr>
      </w:pPr>
      <w:r>
        <w:rPr>
          <w:rFonts w:ascii="仿宋_GB2312;仿宋" w:hAnsi="仿宋_GB2312;仿宋" w:eastAsia="仿宋_GB2312;仿宋"/>
          <w:sz w:val="30"/>
          <w:szCs w:val="30"/>
        </w:rPr>
        <w:t>（二）一般公共预算财政拨款支出决算具体情况</w:t>
      </w:r>
    </w:p>
    <w:p>
      <w:pPr>
        <w:pStyle w:val="Normal"/>
        <w:spacing w:lineRule="exact" w:line="560"/>
        <w:ind w:firstLine="600"/>
        <w:rPr>
          <w:rFonts w:ascii="仿宋_GB2312;仿宋" w:hAnsi="仿宋_GB2312;仿宋" w:eastAsia="仿宋_GB2312;仿宋"/>
          <w:color w:val="000000"/>
          <w:kern w:val="0"/>
          <w:sz w:val="30"/>
          <w:szCs w:val="30"/>
        </w:rPr>
      </w:pPr>
      <w:r>
        <w:rPr>
          <w:rFonts w:eastAsia="仿宋_GB2312;仿宋" w:ascii="仿宋_GB2312;仿宋" w:hAnsi="仿宋_GB2312;仿宋"/>
          <w:color w:val="000000"/>
          <w:kern w:val="0"/>
          <w:sz w:val="30"/>
          <w:szCs w:val="30"/>
        </w:rPr>
        <w:t>1.</w:t>
      </w:r>
      <w:r>
        <w:rPr>
          <w:rFonts w:ascii="仿宋_GB2312;仿宋" w:hAnsi="仿宋_GB2312;仿宋" w:eastAsia="仿宋_GB2312;仿宋"/>
          <w:color w:val="000000"/>
          <w:kern w:val="0"/>
          <w:sz w:val="30"/>
          <w:szCs w:val="30"/>
        </w:rPr>
        <w:t>一般公共服务（类）支出</w:t>
      </w:r>
      <w:r>
        <w:rPr>
          <w:rFonts w:eastAsia="仿宋_GB2312;仿宋" w:ascii="仿宋_GB2312;仿宋" w:hAnsi="仿宋_GB2312;仿宋"/>
          <w:color w:val="000000"/>
          <w:kern w:val="0"/>
          <w:sz w:val="30"/>
          <w:szCs w:val="30"/>
        </w:rPr>
        <w:t>92.00</w:t>
      </w:r>
      <w:r>
        <w:rPr>
          <w:rFonts w:ascii="仿宋_GB2312;仿宋" w:hAnsi="仿宋_GB2312;仿宋" w:eastAsia="仿宋_GB2312;仿宋"/>
          <w:color w:val="000000"/>
          <w:kern w:val="0"/>
          <w:sz w:val="30"/>
          <w:szCs w:val="30"/>
        </w:rPr>
        <w:t>万元，占一般公共预算财政拨款总支出的</w:t>
      </w:r>
      <w:r>
        <w:rPr>
          <w:rFonts w:eastAsia="仿宋_GB2312;仿宋" w:ascii="仿宋_GB2312;仿宋" w:hAnsi="仿宋_GB2312;仿宋"/>
          <w:color w:val="000000"/>
          <w:kern w:val="0"/>
          <w:sz w:val="30"/>
          <w:szCs w:val="30"/>
        </w:rPr>
        <w:t>2.34%</w:t>
      </w:r>
      <w:r>
        <w:rPr>
          <w:rFonts w:ascii="仿宋_GB2312;仿宋" w:hAnsi="仿宋_GB2312;仿宋" w:eastAsia="仿宋_GB2312;仿宋"/>
          <w:color w:val="000000"/>
          <w:kern w:val="0"/>
          <w:sz w:val="30"/>
          <w:szCs w:val="30"/>
        </w:rPr>
        <w:t>。主要用于机关运行等相关支出；</w:t>
      </w:r>
    </w:p>
    <w:p>
      <w:pPr>
        <w:pStyle w:val="Normal"/>
        <w:spacing w:lineRule="exact" w:line="560"/>
        <w:ind w:firstLine="600"/>
        <w:rPr>
          <w:rFonts w:ascii="仿宋_GB2312;仿宋" w:hAnsi="仿宋_GB2312;仿宋" w:eastAsia="仿宋_GB2312;仿宋"/>
          <w:color w:val="000000"/>
          <w:kern w:val="0"/>
          <w:sz w:val="30"/>
          <w:szCs w:val="30"/>
        </w:rPr>
      </w:pPr>
      <w:r>
        <w:rPr>
          <w:rFonts w:eastAsia="仿宋_GB2312;仿宋" w:ascii="仿宋_GB2312;仿宋" w:hAnsi="仿宋_GB2312;仿宋"/>
          <w:color w:val="000000"/>
          <w:kern w:val="0"/>
          <w:sz w:val="30"/>
          <w:szCs w:val="30"/>
        </w:rPr>
        <w:t>2. </w:t>
      </w:r>
      <w:r>
        <w:rPr>
          <w:rFonts w:ascii="仿宋_GB2312;仿宋" w:hAnsi="仿宋_GB2312;仿宋" w:eastAsia="仿宋_GB2312;仿宋"/>
          <w:color w:val="000000"/>
          <w:kern w:val="0"/>
          <w:sz w:val="30"/>
          <w:szCs w:val="30"/>
        </w:rPr>
        <w:t>社会保障和就业（类）支出</w:t>
      </w:r>
      <w:r>
        <w:rPr>
          <w:rFonts w:eastAsia="仿宋_GB2312;仿宋" w:ascii="仿宋_GB2312;仿宋" w:hAnsi="仿宋_GB2312;仿宋"/>
          <w:color w:val="000000"/>
          <w:kern w:val="0"/>
          <w:sz w:val="30"/>
          <w:szCs w:val="30"/>
        </w:rPr>
        <w:t>209.03</w:t>
      </w:r>
      <w:r>
        <w:rPr>
          <w:rFonts w:ascii="仿宋_GB2312;仿宋" w:hAnsi="仿宋_GB2312;仿宋" w:eastAsia="仿宋_GB2312;仿宋"/>
          <w:color w:val="000000"/>
          <w:kern w:val="0"/>
          <w:sz w:val="30"/>
          <w:szCs w:val="30"/>
        </w:rPr>
        <w:t>万元，占一般公共预算财政拨款总支出的</w:t>
      </w:r>
      <w:r>
        <w:rPr>
          <w:rFonts w:eastAsia="仿宋_GB2312;仿宋" w:ascii="仿宋_GB2312;仿宋" w:hAnsi="仿宋_GB2312;仿宋"/>
          <w:color w:val="000000"/>
          <w:kern w:val="0"/>
          <w:sz w:val="30"/>
          <w:szCs w:val="30"/>
        </w:rPr>
        <w:t>5.32%</w:t>
      </w:r>
      <w:r>
        <w:rPr>
          <w:rFonts w:ascii="仿宋_GB2312;仿宋" w:hAnsi="仿宋_GB2312;仿宋" w:eastAsia="仿宋_GB2312;仿宋"/>
          <w:color w:val="000000"/>
          <w:kern w:val="0"/>
          <w:sz w:val="30"/>
          <w:szCs w:val="30"/>
        </w:rPr>
        <w:t>。主要用于职工工资性福利支出如养老保险、医疗保险等相关支出；</w:t>
      </w:r>
    </w:p>
    <w:p>
      <w:pPr>
        <w:pStyle w:val="Normal"/>
        <w:spacing w:lineRule="exact" w:line="560"/>
        <w:ind w:firstLine="600"/>
        <w:rPr>
          <w:rFonts w:ascii="仿宋_GB2312;仿宋" w:hAnsi="仿宋_GB2312;仿宋" w:eastAsia="仿宋_GB2312;仿宋"/>
          <w:color w:val="000000"/>
          <w:kern w:val="0"/>
          <w:szCs w:val="21"/>
        </w:rPr>
      </w:pPr>
      <w:r>
        <w:rPr>
          <w:rFonts w:eastAsia="仿宋_GB2312;仿宋" w:ascii="仿宋_GB2312;仿宋" w:hAnsi="仿宋_GB2312;仿宋"/>
          <w:color w:val="000000"/>
          <w:kern w:val="0"/>
          <w:sz w:val="30"/>
          <w:szCs w:val="30"/>
        </w:rPr>
        <w:t>3. </w:t>
      </w:r>
      <w:r>
        <w:rPr>
          <w:rFonts w:ascii="仿宋_GB2312;仿宋" w:hAnsi="仿宋_GB2312;仿宋" w:eastAsia="仿宋_GB2312;仿宋"/>
          <w:color w:val="000000"/>
          <w:kern w:val="0"/>
          <w:sz w:val="30"/>
          <w:szCs w:val="30"/>
        </w:rPr>
        <w:t>医疗卫生与计划生育（类）支出</w:t>
      </w:r>
      <w:r>
        <w:rPr>
          <w:rFonts w:eastAsia="仿宋_GB2312;仿宋" w:ascii="仿宋_GB2312;仿宋" w:hAnsi="仿宋_GB2312;仿宋"/>
          <w:color w:val="000000"/>
          <w:kern w:val="0"/>
          <w:sz w:val="30"/>
          <w:szCs w:val="30"/>
        </w:rPr>
        <w:t>3,157.85</w:t>
      </w:r>
      <w:r>
        <w:rPr>
          <w:rFonts w:ascii="仿宋_GB2312;仿宋" w:hAnsi="仿宋_GB2312;仿宋" w:eastAsia="仿宋_GB2312;仿宋"/>
          <w:color w:val="000000"/>
          <w:kern w:val="0"/>
          <w:sz w:val="30"/>
          <w:szCs w:val="30"/>
        </w:rPr>
        <w:t>万元，占一般公共预算财政拨款总支出的</w:t>
      </w:r>
      <w:r>
        <w:rPr>
          <w:rFonts w:eastAsia="仿宋_GB2312;仿宋" w:ascii="仿宋_GB2312;仿宋" w:hAnsi="仿宋_GB2312;仿宋"/>
          <w:color w:val="000000"/>
          <w:kern w:val="0"/>
          <w:sz w:val="30"/>
          <w:szCs w:val="30"/>
        </w:rPr>
        <w:t>80.36%</w:t>
      </w:r>
      <w:r>
        <w:rPr>
          <w:rFonts w:ascii="仿宋_GB2312;仿宋" w:hAnsi="仿宋_GB2312;仿宋" w:eastAsia="仿宋_GB2312;仿宋"/>
          <w:color w:val="000000"/>
          <w:kern w:val="0"/>
          <w:sz w:val="30"/>
          <w:szCs w:val="30"/>
        </w:rPr>
        <w:t>。主要用于食品药品监督管理</w:t>
      </w:r>
      <w:r>
        <w:rPr>
          <w:rFonts w:ascii="仿宋_GB2312;仿宋" w:hAnsi="仿宋_GB2312;仿宋" w:eastAsia="仿宋_GB2312;仿宋"/>
          <w:sz w:val="30"/>
          <w:szCs w:val="30"/>
        </w:rPr>
        <w:t>机关、下属事业单位</w:t>
      </w:r>
      <w:r>
        <w:rPr>
          <w:rFonts w:ascii="仿宋_GB2312;仿宋" w:hAnsi="仿宋_GB2312;仿宋" w:eastAsia="仿宋_GB2312;仿宋"/>
          <w:color w:val="000000"/>
          <w:kern w:val="0"/>
          <w:sz w:val="30"/>
          <w:szCs w:val="30"/>
        </w:rPr>
        <w:t>机工作人员基本工资保障、食品药品安全监管等支出；</w:t>
      </w:r>
    </w:p>
    <w:p>
      <w:pPr>
        <w:pStyle w:val="Normal"/>
        <w:spacing w:lineRule="exact" w:line="560"/>
        <w:ind w:firstLine="600"/>
        <w:rPr>
          <w:rFonts w:ascii="仿宋_GB2312;仿宋" w:hAnsi="仿宋_GB2312;仿宋" w:eastAsia="仿宋_GB2312;仿宋"/>
          <w:color w:val="000000"/>
          <w:kern w:val="0"/>
          <w:sz w:val="30"/>
          <w:szCs w:val="30"/>
        </w:rPr>
      </w:pPr>
      <w:r>
        <w:rPr>
          <w:rFonts w:eastAsia="仿宋_GB2312;仿宋" w:ascii="仿宋_GB2312;仿宋" w:hAnsi="仿宋_GB2312;仿宋"/>
          <w:color w:val="000000"/>
          <w:kern w:val="0"/>
          <w:sz w:val="30"/>
          <w:szCs w:val="30"/>
        </w:rPr>
        <w:t>4. </w:t>
      </w:r>
      <w:r>
        <w:rPr>
          <w:rFonts w:ascii="仿宋_GB2312;仿宋" w:hAnsi="仿宋_GB2312;仿宋" w:eastAsia="仿宋_GB2312;仿宋"/>
          <w:color w:val="000000"/>
          <w:kern w:val="0"/>
          <w:sz w:val="30"/>
          <w:szCs w:val="30"/>
        </w:rPr>
        <w:t>住房保障支出</w:t>
      </w:r>
      <w:r>
        <w:rPr>
          <w:rFonts w:eastAsia="仿宋_GB2312;仿宋" w:ascii="仿宋_GB2312;仿宋" w:hAnsi="仿宋_GB2312;仿宋"/>
          <w:color w:val="000000"/>
          <w:kern w:val="0"/>
          <w:sz w:val="30"/>
          <w:szCs w:val="30"/>
        </w:rPr>
        <w:t>104.70</w:t>
      </w:r>
      <w:r>
        <w:rPr>
          <w:rFonts w:ascii="仿宋_GB2312;仿宋" w:hAnsi="仿宋_GB2312;仿宋" w:eastAsia="仿宋_GB2312;仿宋"/>
          <w:color w:val="000000"/>
          <w:kern w:val="0"/>
          <w:sz w:val="30"/>
          <w:szCs w:val="30"/>
        </w:rPr>
        <w:t>万元，占一般公共预算财政拨款总支出的</w:t>
      </w:r>
      <w:r>
        <w:rPr>
          <w:rFonts w:eastAsia="仿宋_GB2312;仿宋" w:ascii="仿宋_GB2312;仿宋" w:hAnsi="仿宋_GB2312;仿宋"/>
          <w:color w:val="000000"/>
          <w:kern w:val="0"/>
          <w:sz w:val="30"/>
          <w:szCs w:val="30"/>
        </w:rPr>
        <w:t>2.66%</w:t>
      </w:r>
      <w:r>
        <w:rPr>
          <w:rFonts w:ascii="仿宋_GB2312;仿宋" w:hAnsi="仿宋_GB2312;仿宋" w:eastAsia="仿宋_GB2312;仿宋"/>
          <w:color w:val="000000"/>
          <w:kern w:val="0"/>
          <w:sz w:val="30"/>
          <w:szCs w:val="30"/>
        </w:rPr>
        <w:t>。主要用于职工住房公积金支出；</w:t>
      </w:r>
    </w:p>
    <w:p>
      <w:pPr>
        <w:pStyle w:val="Normal"/>
        <w:spacing w:lineRule="exact" w:line="560"/>
        <w:ind w:firstLine="600"/>
        <w:rPr>
          <w:rFonts w:ascii="仿宋_GB2312;仿宋" w:hAnsi="仿宋_GB2312;仿宋" w:eastAsia="仿宋_GB2312;仿宋"/>
          <w:color w:val="000000"/>
          <w:kern w:val="0"/>
          <w:szCs w:val="21"/>
        </w:rPr>
      </w:pPr>
      <w:r>
        <w:rPr>
          <w:rFonts w:eastAsia="仿宋_GB2312;仿宋" w:ascii="仿宋_GB2312;仿宋" w:hAnsi="仿宋_GB2312;仿宋"/>
          <w:color w:val="000000"/>
          <w:kern w:val="0"/>
          <w:sz w:val="30"/>
          <w:szCs w:val="30"/>
        </w:rPr>
        <w:t>5.</w:t>
      </w:r>
      <w:r>
        <w:rPr>
          <w:rFonts w:ascii="仿宋_GB2312;仿宋" w:hAnsi="仿宋_GB2312;仿宋" w:eastAsia="仿宋_GB2312;仿宋"/>
          <w:color w:val="000000"/>
          <w:kern w:val="0"/>
          <w:sz w:val="30"/>
          <w:szCs w:val="30"/>
        </w:rPr>
        <w:t>科学技术支出</w:t>
      </w:r>
      <w:r>
        <w:rPr>
          <w:rFonts w:eastAsia="仿宋_GB2312;仿宋" w:ascii="仿宋_GB2312;仿宋" w:hAnsi="仿宋_GB2312;仿宋"/>
          <w:color w:val="000000"/>
          <w:kern w:val="0"/>
          <w:sz w:val="30"/>
          <w:szCs w:val="30"/>
        </w:rPr>
        <w:t>92.91</w:t>
      </w:r>
      <w:r>
        <w:rPr>
          <w:rFonts w:ascii="仿宋_GB2312;仿宋" w:hAnsi="仿宋_GB2312;仿宋" w:eastAsia="仿宋_GB2312;仿宋"/>
          <w:color w:val="000000"/>
          <w:kern w:val="0"/>
          <w:sz w:val="30"/>
          <w:szCs w:val="30"/>
        </w:rPr>
        <w:t>万元，占一般公共预算财政拨款总支出的</w:t>
      </w:r>
      <w:r>
        <w:rPr>
          <w:rFonts w:eastAsia="仿宋_GB2312;仿宋" w:ascii="仿宋_GB2312;仿宋" w:hAnsi="仿宋_GB2312;仿宋"/>
          <w:color w:val="000000"/>
          <w:kern w:val="0"/>
          <w:sz w:val="30"/>
          <w:szCs w:val="30"/>
        </w:rPr>
        <w:t>2.36%</w:t>
      </w:r>
      <w:r>
        <w:rPr>
          <w:rFonts w:ascii="仿宋_GB2312;仿宋" w:hAnsi="仿宋_GB2312;仿宋" w:eastAsia="仿宋_GB2312;仿宋"/>
          <w:color w:val="000000"/>
          <w:kern w:val="0"/>
          <w:sz w:val="30"/>
          <w:szCs w:val="30"/>
        </w:rPr>
        <w:t>。主要用于“智慧</w:t>
      </w:r>
      <w:r>
        <w:rPr>
          <w:rFonts w:eastAsia="仿宋_GB2312;仿宋" w:ascii="仿宋_GB2312;仿宋" w:hAnsi="仿宋_GB2312;仿宋"/>
          <w:color w:val="000000"/>
          <w:kern w:val="0"/>
          <w:sz w:val="30"/>
          <w:szCs w:val="30"/>
        </w:rPr>
        <w:t>+</w:t>
      </w:r>
      <w:r>
        <w:rPr>
          <w:rFonts w:ascii="仿宋_GB2312;仿宋" w:hAnsi="仿宋_GB2312;仿宋" w:eastAsia="仿宋_GB2312;仿宋"/>
          <w:color w:val="000000"/>
          <w:kern w:val="0"/>
          <w:sz w:val="30"/>
          <w:szCs w:val="30"/>
        </w:rPr>
        <w:t>食品药品安全监管”信息化建设。</w:t>
      </w:r>
    </w:p>
    <w:p>
      <w:pPr>
        <w:pStyle w:val="Normal"/>
        <w:snapToGrid w:val="false"/>
        <w:spacing w:lineRule="exact" w:line="560"/>
        <w:ind w:firstLine="600"/>
        <w:rPr>
          <w:rFonts w:ascii="黑体;SimHei" w:hAnsi="黑体;SimHei" w:eastAsia="黑体;SimHei" w:cs="Arial"/>
          <w:kern w:val="0"/>
          <w:sz w:val="30"/>
          <w:szCs w:val="30"/>
        </w:rPr>
      </w:pPr>
      <w:r>
        <w:rPr>
          <w:rFonts w:ascii="黑体;SimHei" w:hAnsi="黑体;SimHei" w:cs="黑体;SimHei" w:eastAsia="黑体;SimHei"/>
          <w:sz w:val="30"/>
          <w:szCs w:val="30"/>
        </w:rPr>
        <w:t>四、一般公共预算财政拨款“三公”经费决算情况说明</w:t>
      </w:r>
    </w:p>
    <w:p>
      <w:pPr>
        <w:pStyle w:val="Normal"/>
        <w:spacing w:lineRule="exact" w:line="560"/>
        <w:ind w:firstLine="600"/>
        <w:rPr>
          <w:rFonts w:ascii="仿宋_GB2312;仿宋" w:hAnsi="仿宋_GB2312;仿宋" w:eastAsia="仿宋_GB2312;仿宋" w:cs="宋体;SimSun"/>
          <w:bCs/>
          <w:sz w:val="30"/>
          <w:szCs w:val="30"/>
        </w:rPr>
      </w:pPr>
      <w:r>
        <w:rPr>
          <w:rFonts w:ascii="仿宋_GB2312;仿宋" w:hAnsi="仿宋_GB2312;仿宋" w:cs="宋体;SimSun" w:eastAsia="仿宋_GB2312;仿宋"/>
          <w:bCs/>
          <w:sz w:val="30"/>
          <w:szCs w:val="30"/>
        </w:rPr>
        <w:t>（一）</w:t>
      </w:r>
      <w:r>
        <w:rPr>
          <w:rFonts w:ascii="仿宋_GB2312;仿宋" w:hAnsi="仿宋_GB2312;仿宋" w:cs="黑体;SimHei" w:eastAsia="仿宋_GB2312;仿宋"/>
          <w:sz w:val="30"/>
          <w:szCs w:val="30"/>
        </w:rPr>
        <w:t>一般公共预算财政拨款“三公”经费决算总体情况</w:t>
      </w:r>
    </w:p>
    <w:p>
      <w:pPr>
        <w:pStyle w:val="Normal"/>
        <w:spacing w:lineRule="exact" w:line="560"/>
        <w:ind w:firstLine="600"/>
        <w:rPr/>
      </w:pPr>
      <w:r>
        <w:rPr>
          <w:rFonts w:ascii="仿宋_GB2312;仿宋" w:hAnsi="仿宋_GB2312;仿宋" w:cs="宋体;SimSun" w:eastAsia="仿宋_GB2312;仿宋"/>
          <w:bCs/>
          <w:sz w:val="30"/>
          <w:szCs w:val="30"/>
        </w:rPr>
        <w:t>部门</w:t>
      </w:r>
      <w:r>
        <w:rPr>
          <w:rFonts w:eastAsia="仿宋_GB2312;仿宋" w:cs="宋体;SimSun" w:ascii="仿宋_GB2312;仿宋" w:hAnsi="仿宋_GB2312;仿宋"/>
          <w:bCs/>
          <w:sz w:val="30"/>
          <w:szCs w:val="30"/>
        </w:rPr>
        <w:t>2017</w:t>
      </w:r>
      <w:r>
        <w:rPr>
          <w:rFonts w:ascii="仿宋_GB2312;仿宋" w:hAnsi="仿宋_GB2312;仿宋" w:cs="宋体;SimSun" w:eastAsia="仿宋_GB2312;仿宋"/>
          <w:bCs/>
          <w:sz w:val="30"/>
          <w:szCs w:val="30"/>
        </w:rPr>
        <w:t>年度</w:t>
      </w:r>
      <w:r>
        <w:rPr>
          <w:rFonts w:ascii="仿宋_GB2312;仿宋" w:hAnsi="仿宋_GB2312;仿宋" w:cs="黑体;SimHei" w:eastAsia="仿宋_GB2312;仿宋"/>
          <w:sz w:val="30"/>
          <w:szCs w:val="30"/>
        </w:rPr>
        <w:t>一般公共预算财政拨款</w:t>
      </w:r>
      <w:r>
        <w:rPr>
          <w:rFonts w:ascii="仿宋_GB2312;仿宋" w:hAnsi="仿宋_GB2312;仿宋" w:cs="宋体;SimSun" w:eastAsia="仿宋_GB2312;仿宋"/>
          <w:bCs/>
          <w:sz w:val="30"/>
          <w:szCs w:val="30"/>
        </w:rPr>
        <w:t>“三公”经费支出预算为</w:t>
      </w:r>
      <w:r>
        <w:rPr>
          <w:rFonts w:eastAsia="仿宋_GB2312;仿宋" w:cs="宋体;SimSun" w:ascii="仿宋_GB2312;仿宋" w:hAnsi="仿宋_GB2312;仿宋"/>
          <w:bCs/>
          <w:sz w:val="30"/>
          <w:szCs w:val="30"/>
        </w:rPr>
        <w:t>92.82</w:t>
      </w:r>
      <w:r>
        <w:rPr>
          <w:rFonts w:ascii="仿宋_GB2312;仿宋" w:hAnsi="仿宋_GB2312;仿宋" w:cs="宋体;SimSun" w:eastAsia="仿宋_GB2312;仿宋"/>
          <w:bCs/>
          <w:sz w:val="30"/>
          <w:szCs w:val="30"/>
        </w:rPr>
        <w:t>万元</w:t>
      </w:r>
      <w:r>
        <w:rPr>
          <w:rFonts w:eastAsia="仿宋_GB2312;仿宋" w:cs="宋体;SimSun" w:ascii="仿宋_GB2312;仿宋" w:hAnsi="仿宋_GB2312;仿宋"/>
          <w:bCs/>
          <w:sz w:val="30"/>
          <w:szCs w:val="30"/>
        </w:rPr>
        <w:t>,</w:t>
      </w:r>
      <w:r>
        <w:rPr>
          <w:rFonts w:ascii="仿宋_GB2312;仿宋" w:hAnsi="仿宋_GB2312;仿宋" w:eastAsia="仿宋_GB2312;仿宋"/>
          <w:sz w:val="30"/>
          <w:szCs w:val="30"/>
        </w:rPr>
        <w:t>支出决算为</w:t>
      </w:r>
      <w:r>
        <w:rPr>
          <w:rFonts w:eastAsia="仿宋_GB2312;仿宋" w:ascii="仿宋_GB2312;仿宋" w:hAnsi="仿宋_GB2312;仿宋"/>
          <w:sz w:val="30"/>
          <w:szCs w:val="30"/>
        </w:rPr>
        <w:t>41.88</w:t>
      </w:r>
      <w:r>
        <w:rPr>
          <w:rFonts w:ascii="仿宋_GB2312;仿宋" w:hAnsi="仿宋_GB2312;仿宋" w:eastAsia="仿宋_GB2312;仿宋"/>
          <w:sz w:val="30"/>
          <w:szCs w:val="30"/>
        </w:rPr>
        <w:t>万元，完成预算的</w:t>
      </w:r>
      <w:r>
        <w:rPr>
          <w:rFonts w:eastAsia="仿宋_GB2312;仿宋" w:ascii="仿宋_GB2312;仿宋" w:hAnsi="仿宋_GB2312;仿宋"/>
          <w:sz w:val="30"/>
          <w:szCs w:val="30"/>
        </w:rPr>
        <w:t>45.12%</w:t>
      </w:r>
      <w:r>
        <w:rPr>
          <w:rFonts w:ascii="仿宋_GB2312;仿宋" w:hAnsi="仿宋_GB2312;仿宋" w:eastAsia="仿宋_GB2312;仿宋"/>
          <w:sz w:val="30"/>
          <w:szCs w:val="30"/>
        </w:rPr>
        <w:t>。其中：因公出国（境）费支出决算为</w:t>
      </w:r>
      <w:r>
        <w:rPr>
          <w:rFonts w:eastAsia="仿宋_GB2312;仿宋" w:ascii="仿宋_GB2312;仿宋" w:hAnsi="仿宋_GB2312;仿宋"/>
          <w:sz w:val="30"/>
          <w:szCs w:val="30"/>
        </w:rPr>
        <w:t>0</w:t>
      </w:r>
      <w:r>
        <w:rPr>
          <w:rFonts w:ascii="仿宋_GB2312;仿宋" w:hAnsi="仿宋_GB2312;仿宋" w:eastAsia="仿宋_GB2312;仿宋"/>
          <w:sz w:val="30"/>
          <w:szCs w:val="30"/>
        </w:rPr>
        <w:t>万元，完成预算的</w:t>
      </w:r>
      <w:r>
        <w:rPr>
          <w:rFonts w:eastAsia="仿宋_GB2312;仿宋" w:ascii="仿宋_GB2312;仿宋" w:hAnsi="仿宋_GB2312;仿宋"/>
          <w:sz w:val="30"/>
          <w:szCs w:val="30"/>
        </w:rPr>
        <w:t>0%</w:t>
      </w:r>
      <w:r>
        <w:rPr>
          <w:rFonts w:ascii="仿宋_GB2312;仿宋" w:hAnsi="仿宋_GB2312;仿宋" w:eastAsia="仿宋_GB2312;仿宋"/>
          <w:sz w:val="30"/>
          <w:szCs w:val="30"/>
        </w:rPr>
        <w:t>；公务用车购置及运行费支出决算为</w:t>
      </w:r>
      <w:r>
        <w:rPr>
          <w:rFonts w:eastAsia="仿宋_GB2312;仿宋" w:ascii="仿宋_GB2312;仿宋" w:hAnsi="仿宋_GB2312;仿宋"/>
          <w:sz w:val="30"/>
          <w:szCs w:val="30"/>
        </w:rPr>
        <w:t>33.08</w:t>
      </w:r>
      <w:r>
        <w:rPr>
          <w:rFonts w:ascii="仿宋_GB2312;仿宋" w:hAnsi="仿宋_GB2312;仿宋" w:eastAsia="仿宋_GB2312;仿宋"/>
          <w:sz w:val="30"/>
          <w:szCs w:val="30"/>
        </w:rPr>
        <w:t>万元，完成预算的</w:t>
      </w:r>
      <w:r>
        <w:rPr>
          <w:rFonts w:eastAsia="仿宋_GB2312;仿宋" w:ascii="仿宋_GB2312;仿宋" w:hAnsi="仿宋_GB2312;仿宋"/>
          <w:sz w:val="30"/>
          <w:szCs w:val="30"/>
        </w:rPr>
        <w:t>35.64%</w:t>
      </w:r>
      <w:r>
        <w:rPr>
          <w:rFonts w:ascii="仿宋_GB2312;仿宋" w:hAnsi="仿宋_GB2312;仿宋" w:eastAsia="仿宋_GB2312;仿宋"/>
          <w:sz w:val="30"/>
          <w:szCs w:val="30"/>
        </w:rPr>
        <w:t>；公务接待费支出决算为</w:t>
      </w:r>
      <w:r>
        <w:rPr>
          <w:rFonts w:eastAsia="仿宋_GB2312;仿宋" w:ascii="仿宋_GB2312;仿宋" w:hAnsi="仿宋_GB2312;仿宋"/>
          <w:sz w:val="30"/>
          <w:szCs w:val="30"/>
        </w:rPr>
        <w:t>8.80</w:t>
      </w:r>
      <w:r>
        <w:rPr>
          <w:rFonts w:ascii="仿宋_GB2312;仿宋" w:hAnsi="仿宋_GB2312;仿宋" w:eastAsia="仿宋_GB2312;仿宋"/>
          <w:sz w:val="30"/>
          <w:szCs w:val="30"/>
        </w:rPr>
        <w:t>万元，完成预算的</w:t>
      </w:r>
      <w:r>
        <w:rPr>
          <w:rFonts w:eastAsia="仿宋_GB2312;仿宋" w:ascii="仿宋_GB2312;仿宋" w:hAnsi="仿宋_GB2312;仿宋"/>
          <w:sz w:val="30"/>
          <w:szCs w:val="30"/>
        </w:rPr>
        <w:t>9.48%</w:t>
      </w:r>
      <w:r>
        <w:rPr>
          <w:rFonts w:ascii="仿宋_GB2312;仿宋" w:hAnsi="仿宋_GB2312;仿宋" w:eastAsia="仿宋_GB2312;仿宋"/>
          <w:sz w:val="30"/>
          <w:szCs w:val="30"/>
        </w:rPr>
        <w:t>。</w:t>
      </w:r>
      <w:r>
        <w:rPr>
          <w:rFonts w:eastAsia="仿宋_GB2312;仿宋" w:ascii="仿宋_GB2312;仿宋" w:hAnsi="仿宋_GB2312;仿宋"/>
          <w:sz w:val="30"/>
          <w:szCs w:val="30"/>
        </w:rPr>
        <w:t>2017</w:t>
      </w:r>
      <w:r>
        <w:rPr>
          <w:rFonts w:ascii="仿宋_GB2312;仿宋" w:hAnsi="仿宋_GB2312;仿宋" w:eastAsia="仿宋_GB2312;仿宋"/>
          <w:sz w:val="30"/>
          <w:szCs w:val="30"/>
        </w:rPr>
        <w:t>年度一般公共预算财政拨款“三公”经费支出决算数大于预算数的</w:t>
      </w:r>
      <w:r>
        <w:rPr>
          <w:rFonts w:eastAsia="仿宋_GB2312;仿宋" w:ascii="仿宋_GB2312;仿宋" w:hAnsi="仿宋_GB2312;仿宋"/>
          <w:sz w:val="30"/>
          <w:szCs w:val="30"/>
        </w:rPr>
        <w:t>50.94</w:t>
      </w:r>
      <w:r>
        <w:rPr>
          <w:rFonts w:ascii="仿宋_GB2312;仿宋" w:hAnsi="仿宋_GB2312;仿宋" w:eastAsia="仿宋_GB2312;仿宋"/>
          <w:sz w:val="30"/>
          <w:szCs w:val="30"/>
        </w:rPr>
        <w:t>万元。主要原因：一是</w:t>
      </w:r>
      <w:r>
        <w:rPr>
          <w:rFonts w:eastAsia="仿宋_GB2312;仿宋" w:ascii="仿宋_GB2312;仿宋" w:hAnsi="仿宋_GB2312;仿宋"/>
          <w:sz w:val="30"/>
          <w:szCs w:val="30"/>
        </w:rPr>
        <w:t>2017</w:t>
      </w:r>
      <w:r>
        <w:rPr>
          <w:rFonts w:ascii="仿宋_GB2312;仿宋" w:hAnsi="仿宋_GB2312;仿宋" w:eastAsia="仿宋_GB2312;仿宋"/>
          <w:sz w:val="30"/>
          <w:szCs w:val="30"/>
        </w:rPr>
        <w:t>年未发生因公出国（境）支出、未购置公务用车；二是</w:t>
      </w:r>
      <w:r>
        <w:rPr>
          <w:rFonts w:ascii="仿宋_GB2312;仿宋" w:hAnsi="仿宋_GB2312;仿宋" w:cs="宋体;SimSun" w:eastAsia="仿宋_GB2312;仿宋"/>
          <w:bCs/>
          <w:sz w:val="30"/>
          <w:szCs w:val="30"/>
        </w:rPr>
        <w:t>进一步贯彻落实“八项”规定，严控公务接待的范围和标准；三是严格落实公务用车管理制度，合理安排执法执勤用车，减少运行成本。</w:t>
      </w:r>
    </w:p>
    <w:p>
      <w:pPr>
        <w:pStyle w:val="Normal"/>
        <w:spacing w:lineRule="exact" w:line="560"/>
        <w:ind w:firstLine="600"/>
        <w:rPr>
          <w:rFonts w:ascii="仿宋_GB2312;仿宋" w:hAnsi="仿宋_GB2312;仿宋" w:eastAsia="仿宋_GB2312;仿宋" w:cs="宋体;SimSun"/>
          <w:bCs/>
          <w:sz w:val="30"/>
          <w:szCs w:val="30"/>
        </w:rPr>
      </w:pPr>
      <w:r>
        <w:rPr>
          <w:rFonts w:eastAsia="仿宋_GB2312;仿宋" w:cs="宋体;SimSun" w:ascii="仿宋_GB2312;仿宋" w:hAnsi="仿宋_GB2312;仿宋"/>
          <w:bCs/>
          <w:sz w:val="30"/>
          <w:szCs w:val="30"/>
        </w:rPr>
        <w:t>2017</w:t>
      </w:r>
      <w:r>
        <w:rPr>
          <w:rFonts w:ascii="仿宋_GB2312;仿宋" w:hAnsi="仿宋_GB2312;仿宋" w:cs="宋体;SimSun" w:eastAsia="仿宋_GB2312;仿宋"/>
          <w:bCs/>
          <w:sz w:val="30"/>
          <w:szCs w:val="30"/>
        </w:rPr>
        <w:t>年度</w:t>
      </w:r>
      <w:r>
        <w:rPr>
          <w:rFonts w:ascii="仿宋_GB2312;仿宋" w:hAnsi="仿宋_GB2312;仿宋" w:cs="黑体;SimHei" w:eastAsia="仿宋_GB2312;仿宋"/>
          <w:sz w:val="30"/>
          <w:szCs w:val="30"/>
        </w:rPr>
        <w:t>一般公共预算财政拨款</w:t>
      </w:r>
      <w:r>
        <w:rPr>
          <w:rFonts w:ascii="仿宋_GB2312;仿宋" w:hAnsi="仿宋_GB2312;仿宋" w:cs="宋体;SimSun" w:eastAsia="仿宋_GB2312;仿宋"/>
          <w:bCs/>
          <w:sz w:val="30"/>
          <w:szCs w:val="30"/>
        </w:rPr>
        <w:t>“三公”经费决算支出总额</w:t>
      </w:r>
      <w:r>
        <w:rPr>
          <w:rFonts w:eastAsia="仿宋_GB2312;仿宋" w:cs="宋体;SimSun" w:ascii="仿宋_GB2312;仿宋" w:hAnsi="仿宋_GB2312;仿宋"/>
          <w:bCs/>
          <w:sz w:val="30"/>
          <w:szCs w:val="30"/>
        </w:rPr>
        <w:t>41.88</w:t>
      </w:r>
      <w:r>
        <w:rPr>
          <w:rFonts w:ascii="仿宋_GB2312;仿宋" w:hAnsi="仿宋_GB2312;仿宋" w:cs="宋体;SimSun" w:eastAsia="仿宋_GB2312;仿宋"/>
          <w:bCs/>
          <w:sz w:val="30"/>
          <w:szCs w:val="30"/>
        </w:rPr>
        <w:t>万元</w:t>
      </w:r>
      <w:r>
        <w:rPr>
          <w:rFonts w:eastAsia="仿宋_GB2312;仿宋" w:cs="宋体;SimSun" w:ascii="仿宋_GB2312;仿宋" w:hAnsi="仿宋_GB2312;仿宋"/>
          <w:bCs/>
          <w:sz w:val="30"/>
          <w:szCs w:val="30"/>
        </w:rPr>
        <w:t>,</w:t>
      </w:r>
      <w:r>
        <w:rPr>
          <w:rFonts w:ascii="仿宋_GB2312;仿宋" w:hAnsi="仿宋_GB2312;仿宋" w:cs="宋体;SimSun" w:eastAsia="仿宋_GB2312;仿宋"/>
          <w:bCs/>
          <w:sz w:val="30"/>
          <w:szCs w:val="30"/>
        </w:rPr>
        <w:t>与</w:t>
      </w:r>
      <w:r>
        <w:rPr>
          <w:rFonts w:eastAsia="仿宋_GB2312;仿宋" w:cs="宋体;SimSun" w:ascii="仿宋_GB2312;仿宋" w:hAnsi="仿宋_GB2312;仿宋"/>
          <w:bCs/>
          <w:sz w:val="30"/>
          <w:szCs w:val="30"/>
        </w:rPr>
        <w:t>2016</w:t>
      </w:r>
      <w:r>
        <w:rPr>
          <w:rFonts w:ascii="仿宋_GB2312;仿宋" w:hAnsi="仿宋_GB2312;仿宋" w:cs="宋体;SimSun" w:eastAsia="仿宋_GB2312;仿宋"/>
          <w:bCs/>
          <w:sz w:val="30"/>
          <w:szCs w:val="30"/>
        </w:rPr>
        <w:t>年的</w:t>
      </w:r>
      <w:r>
        <w:rPr>
          <w:rFonts w:eastAsia="仿宋_GB2312;仿宋" w:cs="宋体;SimSun" w:ascii="仿宋_GB2312;仿宋" w:hAnsi="仿宋_GB2312;仿宋"/>
          <w:bCs/>
          <w:sz w:val="30"/>
          <w:szCs w:val="30"/>
        </w:rPr>
        <w:t>51.89</w:t>
      </w:r>
      <w:r>
        <w:rPr>
          <w:rFonts w:ascii="仿宋_GB2312;仿宋" w:hAnsi="仿宋_GB2312;仿宋" w:cs="宋体;SimSun" w:eastAsia="仿宋_GB2312;仿宋"/>
          <w:bCs/>
          <w:sz w:val="30"/>
          <w:szCs w:val="30"/>
        </w:rPr>
        <w:t>万元相比减少</w:t>
      </w:r>
      <w:r>
        <w:rPr>
          <w:rFonts w:eastAsia="仿宋_GB2312;仿宋" w:cs="宋体;SimSun" w:ascii="仿宋_GB2312;仿宋" w:hAnsi="仿宋_GB2312;仿宋"/>
          <w:bCs/>
          <w:sz w:val="30"/>
          <w:szCs w:val="30"/>
        </w:rPr>
        <w:t>10.01</w:t>
      </w:r>
      <w:r>
        <w:rPr>
          <w:rFonts w:ascii="仿宋_GB2312;仿宋" w:hAnsi="仿宋_GB2312;仿宋" w:cs="宋体;SimSun" w:eastAsia="仿宋_GB2312;仿宋"/>
          <w:bCs/>
          <w:sz w:val="30"/>
          <w:szCs w:val="30"/>
        </w:rPr>
        <w:t>万元</w:t>
      </w:r>
      <w:r>
        <w:rPr>
          <w:rFonts w:eastAsia="仿宋_GB2312;仿宋" w:cs="宋体;SimSun" w:ascii="仿宋_GB2312;仿宋" w:hAnsi="仿宋_GB2312;仿宋"/>
          <w:bCs/>
          <w:sz w:val="30"/>
          <w:szCs w:val="30"/>
        </w:rPr>
        <w:t xml:space="preserve">, </w:t>
      </w:r>
      <w:r>
        <w:rPr>
          <w:rFonts w:ascii="仿宋_GB2312;仿宋" w:hAnsi="仿宋_GB2312;仿宋" w:cs="宋体;SimSun" w:eastAsia="仿宋_GB2312;仿宋"/>
          <w:bCs/>
          <w:sz w:val="30"/>
          <w:szCs w:val="30"/>
        </w:rPr>
        <w:t>下降</w:t>
      </w:r>
      <w:r>
        <w:rPr>
          <w:rFonts w:eastAsia="仿宋_GB2312;仿宋" w:cs="宋体;SimSun" w:ascii="仿宋_GB2312;仿宋" w:hAnsi="仿宋_GB2312;仿宋"/>
          <w:bCs/>
          <w:sz w:val="30"/>
          <w:szCs w:val="30"/>
        </w:rPr>
        <w:t>19.29%</w:t>
      </w:r>
      <w:r>
        <w:rPr>
          <w:rFonts w:ascii="仿宋_GB2312;仿宋" w:hAnsi="仿宋_GB2312;仿宋" w:cs="宋体;SimSun" w:eastAsia="仿宋_GB2312;仿宋"/>
          <w:bCs/>
          <w:sz w:val="30"/>
          <w:szCs w:val="30"/>
        </w:rPr>
        <w:t>。其中：</w:t>
      </w:r>
      <w:r>
        <w:rPr>
          <w:rFonts w:eastAsia="仿宋_GB2312;仿宋" w:cs="宋体;SimSun" w:ascii="仿宋_GB2312;仿宋" w:hAnsi="仿宋_GB2312;仿宋"/>
          <w:bCs/>
          <w:sz w:val="30"/>
          <w:szCs w:val="30"/>
        </w:rPr>
        <w:t>2017</w:t>
      </w:r>
      <w:r>
        <w:rPr>
          <w:rFonts w:ascii="仿宋_GB2312;仿宋" w:hAnsi="仿宋_GB2312;仿宋" w:cs="宋体;SimSun" w:eastAsia="仿宋_GB2312;仿宋"/>
          <w:bCs/>
          <w:sz w:val="30"/>
          <w:szCs w:val="30"/>
        </w:rPr>
        <w:t>年、</w:t>
      </w:r>
      <w:r>
        <w:rPr>
          <w:rFonts w:eastAsia="仿宋_GB2312;仿宋" w:cs="宋体;SimSun" w:ascii="仿宋_GB2312;仿宋" w:hAnsi="仿宋_GB2312;仿宋"/>
          <w:bCs/>
          <w:sz w:val="30"/>
          <w:szCs w:val="30"/>
        </w:rPr>
        <w:t>2016</w:t>
      </w:r>
      <w:r>
        <w:rPr>
          <w:rFonts w:ascii="仿宋_GB2312;仿宋" w:hAnsi="仿宋_GB2312;仿宋" w:cs="宋体;SimSun" w:eastAsia="仿宋_GB2312;仿宋"/>
          <w:bCs/>
          <w:sz w:val="30"/>
          <w:szCs w:val="30"/>
        </w:rPr>
        <w:t>年均未发生因公出国（境）支出和公务用车购置费；公务用车运行维护费</w:t>
      </w:r>
      <w:r>
        <w:rPr>
          <w:rFonts w:eastAsia="仿宋_GB2312;仿宋" w:cs="宋体;SimSun" w:ascii="仿宋_GB2312;仿宋" w:hAnsi="仿宋_GB2312;仿宋"/>
          <w:bCs/>
          <w:sz w:val="30"/>
          <w:szCs w:val="30"/>
        </w:rPr>
        <w:t>33.08</w:t>
      </w:r>
      <w:r>
        <w:rPr>
          <w:rFonts w:ascii="仿宋_GB2312;仿宋" w:hAnsi="仿宋_GB2312;仿宋" w:cs="宋体;SimSun" w:eastAsia="仿宋_GB2312;仿宋"/>
          <w:bCs/>
          <w:sz w:val="30"/>
          <w:szCs w:val="30"/>
        </w:rPr>
        <w:t>万元</w:t>
      </w:r>
      <w:r>
        <w:rPr>
          <w:rFonts w:eastAsia="仿宋_GB2312;仿宋" w:cs="宋体;SimSun" w:ascii="仿宋_GB2312;仿宋" w:hAnsi="仿宋_GB2312;仿宋"/>
          <w:bCs/>
          <w:sz w:val="30"/>
          <w:szCs w:val="30"/>
        </w:rPr>
        <w:t>,</w:t>
      </w:r>
      <w:r>
        <w:rPr>
          <w:rFonts w:ascii="仿宋_GB2312;仿宋" w:hAnsi="仿宋_GB2312;仿宋" w:cs="宋体;SimSun" w:eastAsia="仿宋_GB2312;仿宋"/>
          <w:bCs/>
          <w:sz w:val="30"/>
          <w:szCs w:val="30"/>
        </w:rPr>
        <w:t>与</w:t>
      </w:r>
      <w:r>
        <w:rPr>
          <w:rFonts w:eastAsia="仿宋_GB2312;仿宋" w:cs="宋体;SimSun" w:ascii="仿宋_GB2312;仿宋" w:hAnsi="仿宋_GB2312;仿宋"/>
          <w:bCs/>
          <w:sz w:val="30"/>
          <w:szCs w:val="30"/>
        </w:rPr>
        <w:t>2016</w:t>
      </w:r>
      <w:r>
        <w:rPr>
          <w:rFonts w:ascii="仿宋_GB2312;仿宋" w:hAnsi="仿宋_GB2312;仿宋" w:cs="宋体;SimSun" w:eastAsia="仿宋_GB2312;仿宋"/>
          <w:bCs/>
          <w:sz w:val="30"/>
          <w:szCs w:val="30"/>
        </w:rPr>
        <w:t>年的</w:t>
      </w:r>
      <w:r>
        <w:rPr>
          <w:rFonts w:eastAsia="仿宋_GB2312;仿宋" w:cs="宋体;SimSun" w:ascii="仿宋_GB2312;仿宋" w:hAnsi="仿宋_GB2312;仿宋"/>
          <w:bCs/>
          <w:sz w:val="30"/>
          <w:szCs w:val="30"/>
        </w:rPr>
        <w:t>33.57</w:t>
      </w:r>
      <w:r>
        <w:rPr>
          <w:rFonts w:ascii="仿宋_GB2312;仿宋" w:hAnsi="仿宋_GB2312;仿宋" w:cs="宋体;SimSun" w:eastAsia="仿宋_GB2312;仿宋"/>
          <w:bCs/>
          <w:sz w:val="30"/>
          <w:szCs w:val="30"/>
        </w:rPr>
        <w:t>万元相比减少</w:t>
      </w:r>
      <w:r>
        <w:rPr>
          <w:rFonts w:eastAsia="仿宋_GB2312;仿宋" w:cs="宋体;SimSun" w:ascii="仿宋_GB2312;仿宋" w:hAnsi="仿宋_GB2312;仿宋"/>
          <w:bCs/>
          <w:sz w:val="30"/>
          <w:szCs w:val="30"/>
        </w:rPr>
        <w:t>0.49</w:t>
      </w:r>
      <w:r>
        <w:rPr>
          <w:rFonts w:ascii="仿宋_GB2312;仿宋" w:hAnsi="仿宋_GB2312;仿宋" w:cs="宋体;SimSun" w:eastAsia="仿宋_GB2312;仿宋"/>
          <w:bCs/>
          <w:sz w:val="30"/>
          <w:szCs w:val="30"/>
        </w:rPr>
        <w:t>万元</w:t>
      </w:r>
      <w:r>
        <w:rPr>
          <w:rFonts w:eastAsia="仿宋_GB2312;仿宋" w:cs="宋体;SimSun" w:ascii="仿宋_GB2312;仿宋" w:hAnsi="仿宋_GB2312;仿宋"/>
          <w:bCs/>
          <w:sz w:val="30"/>
          <w:szCs w:val="30"/>
        </w:rPr>
        <w:t xml:space="preserve">, </w:t>
      </w:r>
      <w:r>
        <w:rPr>
          <w:rFonts w:ascii="仿宋_GB2312;仿宋" w:hAnsi="仿宋_GB2312;仿宋" w:cs="宋体;SimSun" w:eastAsia="仿宋_GB2312;仿宋"/>
          <w:bCs/>
          <w:sz w:val="30"/>
          <w:szCs w:val="30"/>
        </w:rPr>
        <w:t>下降</w:t>
      </w:r>
      <w:r>
        <w:rPr>
          <w:rFonts w:eastAsia="仿宋_GB2312;仿宋" w:cs="宋体;SimSun" w:ascii="仿宋_GB2312;仿宋" w:hAnsi="仿宋_GB2312;仿宋"/>
          <w:bCs/>
          <w:sz w:val="30"/>
          <w:szCs w:val="30"/>
        </w:rPr>
        <w:t>1.46%</w:t>
      </w:r>
      <w:r>
        <w:rPr>
          <w:rFonts w:ascii="仿宋_GB2312;仿宋" w:hAnsi="仿宋_GB2312;仿宋" w:cs="宋体;SimSun" w:eastAsia="仿宋_GB2312;仿宋"/>
          <w:bCs/>
          <w:sz w:val="30"/>
          <w:szCs w:val="30"/>
        </w:rPr>
        <w:t>。减少主要原因严格执行有关规定，因工作任务需派车的，统筹安排，减少公务用车出勤数量，同时注意保养和维护，避免出现重大故障；公务接待费</w:t>
      </w:r>
      <w:r>
        <w:rPr>
          <w:rFonts w:eastAsia="仿宋_GB2312;仿宋" w:cs="宋体;SimSun" w:ascii="仿宋_GB2312;仿宋" w:hAnsi="仿宋_GB2312;仿宋"/>
          <w:bCs/>
          <w:sz w:val="30"/>
          <w:szCs w:val="30"/>
        </w:rPr>
        <w:t>8.80</w:t>
      </w:r>
      <w:r>
        <w:rPr>
          <w:rFonts w:ascii="仿宋_GB2312;仿宋" w:hAnsi="仿宋_GB2312;仿宋" w:cs="宋体;SimSun" w:eastAsia="仿宋_GB2312;仿宋"/>
          <w:bCs/>
          <w:sz w:val="30"/>
          <w:szCs w:val="30"/>
        </w:rPr>
        <w:t>万元</w:t>
      </w:r>
      <w:r>
        <w:rPr>
          <w:rFonts w:eastAsia="仿宋_GB2312;仿宋" w:cs="宋体;SimSun" w:ascii="仿宋_GB2312;仿宋" w:hAnsi="仿宋_GB2312;仿宋"/>
          <w:bCs/>
          <w:sz w:val="30"/>
          <w:szCs w:val="30"/>
        </w:rPr>
        <w:t>,</w:t>
      </w:r>
      <w:r>
        <w:rPr>
          <w:rFonts w:ascii="仿宋_GB2312;仿宋" w:hAnsi="仿宋_GB2312;仿宋" w:cs="宋体;SimSun" w:eastAsia="仿宋_GB2312;仿宋"/>
          <w:bCs/>
          <w:sz w:val="30"/>
          <w:szCs w:val="30"/>
        </w:rPr>
        <w:t>与</w:t>
      </w:r>
      <w:r>
        <w:rPr>
          <w:rFonts w:eastAsia="仿宋_GB2312;仿宋" w:cs="宋体;SimSun" w:ascii="仿宋_GB2312;仿宋" w:hAnsi="仿宋_GB2312;仿宋"/>
          <w:bCs/>
          <w:sz w:val="30"/>
          <w:szCs w:val="30"/>
        </w:rPr>
        <w:t>2016</w:t>
      </w:r>
      <w:r>
        <w:rPr>
          <w:rFonts w:ascii="仿宋_GB2312;仿宋" w:hAnsi="仿宋_GB2312;仿宋" w:cs="宋体;SimSun" w:eastAsia="仿宋_GB2312;仿宋"/>
          <w:bCs/>
          <w:sz w:val="30"/>
          <w:szCs w:val="30"/>
        </w:rPr>
        <w:t>年的</w:t>
      </w:r>
      <w:r>
        <w:rPr>
          <w:rFonts w:eastAsia="仿宋_GB2312;仿宋" w:cs="宋体;SimSun" w:ascii="仿宋_GB2312;仿宋" w:hAnsi="仿宋_GB2312;仿宋"/>
          <w:bCs/>
          <w:sz w:val="30"/>
          <w:szCs w:val="30"/>
        </w:rPr>
        <w:t>13.43</w:t>
      </w:r>
      <w:r>
        <w:rPr>
          <w:rFonts w:ascii="仿宋_GB2312;仿宋" w:hAnsi="仿宋_GB2312;仿宋" w:cs="宋体;SimSun" w:eastAsia="仿宋_GB2312;仿宋"/>
          <w:bCs/>
          <w:sz w:val="30"/>
          <w:szCs w:val="30"/>
        </w:rPr>
        <w:t>万元相比减少</w:t>
      </w:r>
      <w:r>
        <w:rPr>
          <w:rFonts w:eastAsia="仿宋_GB2312;仿宋" w:cs="宋体;SimSun" w:ascii="仿宋_GB2312;仿宋" w:hAnsi="仿宋_GB2312;仿宋"/>
          <w:bCs/>
          <w:sz w:val="30"/>
          <w:szCs w:val="30"/>
        </w:rPr>
        <w:t>4.63</w:t>
      </w:r>
      <w:r>
        <w:rPr>
          <w:rFonts w:ascii="仿宋_GB2312;仿宋" w:hAnsi="仿宋_GB2312;仿宋" w:cs="宋体;SimSun" w:eastAsia="仿宋_GB2312;仿宋"/>
          <w:bCs/>
          <w:sz w:val="30"/>
          <w:szCs w:val="30"/>
        </w:rPr>
        <w:t>万元</w:t>
      </w:r>
      <w:r>
        <w:rPr>
          <w:rFonts w:eastAsia="仿宋_GB2312;仿宋" w:cs="宋体;SimSun" w:ascii="仿宋_GB2312;仿宋" w:hAnsi="仿宋_GB2312;仿宋"/>
          <w:bCs/>
          <w:sz w:val="30"/>
          <w:szCs w:val="30"/>
        </w:rPr>
        <w:t xml:space="preserve">, </w:t>
      </w:r>
      <w:r>
        <w:rPr>
          <w:rFonts w:ascii="仿宋_GB2312;仿宋" w:hAnsi="仿宋_GB2312;仿宋" w:cs="宋体;SimSun" w:eastAsia="仿宋_GB2312;仿宋"/>
          <w:bCs/>
          <w:sz w:val="30"/>
          <w:szCs w:val="30"/>
        </w:rPr>
        <w:t>下降</w:t>
      </w:r>
      <w:r>
        <w:rPr>
          <w:rFonts w:eastAsia="仿宋_GB2312;仿宋" w:cs="宋体;SimSun" w:ascii="仿宋_GB2312;仿宋" w:hAnsi="仿宋_GB2312;仿宋"/>
          <w:bCs/>
          <w:sz w:val="30"/>
          <w:szCs w:val="30"/>
        </w:rPr>
        <w:t>34.47%</w:t>
      </w:r>
      <w:r>
        <w:rPr>
          <w:rFonts w:ascii="仿宋_GB2312;仿宋" w:hAnsi="仿宋_GB2312;仿宋" w:cs="宋体;SimSun" w:eastAsia="仿宋_GB2312;仿宋"/>
          <w:bCs/>
          <w:sz w:val="30"/>
          <w:szCs w:val="30"/>
        </w:rPr>
        <w:t>。</w:t>
      </w:r>
      <w:r>
        <w:rPr>
          <w:rFonts w:ascii="仿宋_GB2312;仿宋" w:hAnsi="仿宋_GB2312;仿宋" w:cs="宋体;SimSun" w:eastAsia="仿宋_GB2312;仿宋"/>
          <w:color w:val="000000"/>
          <w:kern w:val="0"/>
          <w:sz w:val="30"/>
          <w:szCs w:val="30"/>
        </w:rPr>
        <w:t>减少主要原因严格执行有关规定，严控公务接待的范围和标准。</w:t>
      </w:r>
    </w:p>
    <w:p>
      <w:pPr>
        <w:pStyle w:val="Normal"/>
        <w:snapToGrid w:val="false"/>
        <w:spacing w:lineRule="exact" w:line="560"/>
        <w:ind w:firstLine="600"/>
        <w:rPr/>
      </w:pPr>
      <w:r>
        <w:rPr>
          <w:rFonts w:eastAsia="仿宋_GB2312;仿宋" w:cs="楷体" w:ascii="仿宋_GB2312;仿宋" w:hAnsi="仿宋_GB2312;仿宋"/>
          <w:sz w:val="30"/>
          <w:szCs w:val="30"/>
        </w:rPr>
        <w:t>(</w:t>
      </w:r>
      <w:r>
        <w:rPr>
          <w:rFonts w:ascii="仿宋_GB2312;仿宋" w:hAnsi="仿宋_GB2312;仿宋" w:cs="楷体" w:eastAsia="仿宋_GB2312;仿宋"/>
          <w:sz w:val="30"/>
          <w:szCs w:val="30"/>
        </w:rPr>
        <w:t>二</w:t>
      </w:r>
      <w:r>
        <w:rPr>
          <w:rFonts w:eastAsia="仿宋_GB2312;仿宋" w:cs="楷体" w:ascii="仿宋_GB2312;仿宋" w:hAnsi="仿宋_GB2312;仿宋"/>
          <w:sz w:val="30"/>
          <w:szCs w:val="30"/>
        </w:rPr>
        <w:t>)</w:t>
      </w:r>
      <w:r>
        <w:rPr>
          <w:rFonts w:eastAsia="仿宋_GB2312;仿宋" w:ascii="仿宋_GB2312;仿宋" w:hAnsi="仿宋_GB2312;仿宋"/>
          <w:sz w:val="30"/>
          <w:szCs w:val="30"/>
        </w:rPr>
        <w:t xml:space="preserve"> </w:t>
      </w:r>
      <w:r>
        <w:rPr>
          <w:rFonts w:ascii="仿宋_GB2312;仿宋" w:hAnsi="仿宋_GB2312;仿宋" w:cs="楷体" w:eastAsia="仿宋_GB2312;仿宋"/>
          <w:sz w:val="30"/>
          <w:szCs w:val="30"/>
        </w:rPr>
        <w:t>一般公共预算财政拨款“三公”经费支出决算具体情况</w:t>
      </w:r>
    </w:p>
    <w:p>
      <w:pPr>
        <w:pStyle w:val="Normal"/>
        <w:snapToGrid w:val="false"/>
        <w:spacing w:lineRule="exact" w:line="560"/>
        <w:ind w:firstLine="600"/>
        <w:rPr>
          <w:rFonts w:ascii="仿宋_GB2312;仿宋" w:hAnsi="仿宋_GB2312;仿宋" w:eastAsia="仿宋_GB2312;仿宋"/>
          <w:sz w:val="30"/>
          <w:szCs w:val="30"/>
        </w:rPr>
      </w:pPr>
      <w:r>
        <w:rPr>
          <w:rFonts w:eastAsia="仿宋_GB2312;仿宋" w:ascii="仿宋_GB2312;仿宋" w:hAnsi="仿宋_GB2312;仿宋"/>
          <w:sz w:val="30"/>
          <w:szCs w:val="30"/>
        </w:rPr>
        <w:t>2017</w:t>
      </w:r>
      <w:r>
        <w:rPr>
          <w:rFonts w:ascii="仿宋_GB2312;仿宋" w:hAnsi="仿宋_GB2312;仿宋" w:eastAsia="仿宋_GB2312;仿宋"/>
          <w:sz w:val="30"/>
          <w:szCs w:val="30"/>
        </w:rPr>
        <w:t>年度一般公共预算财政拨款“三公”经费支出决算中，因公出国（境）费支出</w:t>
      </w:r>
      <w:r>
        <w:rPr>
          <w:rFonts w:eastAsia="仿宋_GB2312;仿宋" w:ascii="仿宋_GB2312;仿宋" w:hAnsi="仿宋_GB2312;仿宋"/>
          <w:sz w:val="30"/>
          <w:szCs w:val="30"/>
        </w:rPr>
        <w:t>0</w:t>
      </w:r>
      <w:r>
        <w:rPr>
          <w:rFonts w:ascii="仿宋_GB2312;仿宋" w:hAnsi="仿宋_GB2312;仿宋" w:eastAsia="仿宋_GB2312;仿宋"/>
          <w:sz w:val="30"/>
          <w:szCs w:val="30"/>
        </w:rPr>
        <w:t>万元；公务用车购置及运行维护费支出</w:t>
      </w:r>
      <w:r>
        <w:rPr>
          <w:rFonts w:eastAsia="仿宋_GB2312;仿宋" w:ascii="仿宋_GB2312;仿宋" w:hAnsi="仿宋_GB2312;仿宋"/>
          <w:sz w:val="30"/>
          <w:szCs w:val="30"/>
        </w:rPr>
        <w:t>33.08</w:t>
      </w:r>
      <w:r>
        <w:rPr>
          <w:rFonts w:ascii="仿宋_GB2312;仿宋" w:hAnsi="仿宋_GB2312;仿宋" w:eastAsia="仿宋_GB2312;仿宋"/>
          <w:sz w:val="30"/>
          <w:szCs w:val="30"/>
        </w:rPr>
        <w:t>万元，占</w:t>
      </w:r>
      <w:r>
        <w:rPr>
          <w:rFonts w:eastAsia="仿宋_GB2312;仿宋" w:ascii="仿宋_GB2312;仿宋" w:hAnsi="仿宋_GB2312;仿宋"/>
          <w:sz w:val="30"/>
          <w:szCs w:val="30"/>
        </w:rPr>
        <w:t>78.99%</w:t>
      </w:r>
      <w:r>
        <w:rPr>
          <w:rFonts w:ascii="仿宋_GB2312;仿宋" w:hAnsi="仿宋_GB2312;仿宋" w:eastAsia="仿宋_GB2312;仿宋"/>
          <w:sz w:val="30"/>
          <w:szCs w:val="30"/>
        </w:rPr>
        <w:t>；公务接待费支出</w:t>
      </w:r>
      <w:r>
        <w:rPr>
          <w:rFonts w:eastAsia="仿宋_GB2312;仿宋" w:ascii="仿宋_GB2312;仿宋" w:hAnsi="仿宋_GB2312;仿宋"/>
          <w:sz w:val="30"/>
          <w:szCs w:val="30"/>
        </w:rPr>
        <w:t>8.8</w:t>
      </w:r>
      <w:r>
        <w:rPr>
          <w:rFonts w:ascii="仿宋_GB2312;仿宋" w:hAnsi="仿宋_GB2312;仿宋" w:eastAsia="仿宋_GB2312;仿宋"/>
          <w:sz w:val="30"/>
          <w:szCs w:val="30"/>
        </w:rPr>
        <w:t>万元，占</w:t>
      </w:r>
      <w:r>
        <w:rPr>
          <w:rFonts w:eastAsia="仿宋_GB2312;仿宋" w:ascii="仿宋_GB2312;仿宋" w:hAnsi="仿宋_GB2312;仿宋"/>
          <w:sz w:val="30"/>
          <w:szCs w:val="30"/>
        </w:rPr>
        <w:t>21.01%</w:t>
      </w:r>
      <w:r>
        <w:rPr>
          <w:rFonts w:ascii="仿宋_GB2312;仿宋" w:hAnsi="仿宋_GB2312;仿宋" w:eastAsia="仿宋_GB2312;仿宋"/>
          <w:sz w:val="30"/>
          <w:szCs w:val="30"/>
        </w:rPr>
        <w:t>。具体情况如下：</w:t>
      </w:r>
    </w:p>
    <w:p>
      <w:pPr>
        <w:pStyle w:val="Normal"/>
        <w:snapToGrid w:val="false"/>
        <w:spacing w:lineRule="exact" w:line="560"/>
        <w:ind w:firstLine="600"/>
        <w:rPr>
          <w:rFonts w:ascii="仿宋_GB2312;仿宋" w:hAnsi="仿宋_GB2312;仿宋" w:eastAsia="仿宋_GB2312;仿宋"/>
          <w:sz w:val="30"/>
          <w:szCs w:val="30"/>
        </w:rPr>
      </w:pPr>
      <w:r>
        <w:rPr>
          <w:rFonts w:eastAsia="仿宋_GB2312;仿宋" w:ascii="仿宋_GB2312;仿宋" w:hAnsi="仿宋_GB2312;仿宋"/>
          <w:sz w:val="30"/>
          <w:szCs w:val="30"/>
        </w:rPr>
        <w:t>1.</w:t>
      </w:r>
      <w:r>
        <w:rPr>
          <w:rFonts w:ascii="仿宋_GB2312;仿宋" w:hAnsi="仿宋_GB2312;仿宋" w:eastAsia="仿宋_GB2312;仿宋"/>
          <w:sz w:val="30"/>
          <w:szCs w:val="30"/>
        </w:rPr>
        <w:t>因公出国（境）费支出</w:t>
      </w:r>
      <w:r>
        <w:rPr>
          <w:rFonts w:eastAsia="仿宋_GB2312;仿宋" w:ascii="仿宋_GB2312;仿宋" w:hAnsi="仿宋_GB2312;仿宋"/>
          <w:sz w:val="30"/>
          <w:szCs w:val="30"/>
        </w:rPr>
        <w:t>0</w:t>
      </w:r>
      <w:r>
        <w:rPr>
          <w:rFonts w:ascii="仿宋_GB2312;仿宋" w:hAnsi="仿宋_GB2312;仿宋" w:eastAsia="仿宋_GB2312;仿宋"/>
          <w:sz w:val="30"/>
          <w:szCs w:val="30"/>
        </w:rPr>
        <w:t>万元。</w:t>
      </w:r>
    </w:p>
    <w:p>
      <w:pPr>
        <w:pStyle w:val="Normal"/>
        <w:snapToGrid w:val="false"/>
        <w:spacing w:lineRule="exact" w:line="560"/>
        <w:ind w:firstLine="600"/>
        <w:rPr>
          <w:rFonts w:ascii="仿宋_GB2312;仿宋" w:hAnsi="仿宋_GB2312;仿宋" w:eastAsia="仿宋_GB2312;仿宋"/>
          <w:sz w:val="30"/>
          <w:szCs w:val="30"/>
        </w:rPr>
      </w:pPr>
      <w:r>
        <w:rPr>
          <w:rFonts w:eastAsia="仿宋_GB2312;仿宋" w:ascii="仿宋_GB2312;仿宋" w:hAnsi="仿宋_GB2312;仿宋"/>
          <w:sz w:val="30"/>
          <w:szCs w:val="30"/>
        </w:rPr>
        <w:t>2.</w:t>
      </w:r>
      <w:r>
        <w:rPr>
          <w:rFonts w:ascii="仿宋_GB2312;仿宋" w:hAnsi="仿宋_GB2312;仿宋" w:eastAsia="仿宋_GB2312;仿宋"/>
          <w:sz w:val="30"/>
          <w:szCs w:val="30"/>
        </w:rPr>
        <w:t>公务用车购置及运行维护费支出</w:t>
      </w:r>
      <w:r>
        <w:rPr>
          <w:rFonts w:eastAsia="仿宋_GB2312;仿宋" w:ascii="仿宋_GB2312;仿宋" w:hAnsi="仿宋_GB2312;仿宋"/>
          <w:sz w:val="30"/>
          <w:szCs w:val="30"/>
        </w:rPr>
        <w:t>33.08</w:t>
      </w:r>
      <w:r>
        <w:rPr>
          <w:rFonts w:ascii="仿宋_GB2312;仿宋" w:hAnsi="仿宋_GB2312;仿宋" w:eastAsia="仿宋_GB2312;仿宋"/>
          <w:sz w:val="30"/>
          <w:szCs w:val="30"/>
        </w:rPr>
        <w:t>万元。其中：</w:t>
      </w:r>
    </w:p>
    <w:p>
      <w:pPr>
        <w:pStyle w:val="Normal"/>
        <w:snapToGrid w:val="false"/>
        <w:spacing w:lineRule="exact" w:line="560"/>
        <w:ind w:firstLine="600"/>
        <w:rPr>
          <w:rFonts w:ascii="仿宋_GB2312;仿宋" w:hAnsi="仿宋_GB2312;仿宋" w:eastAsia="仿宋_GB2312;仿宋"/>
          <w:sz w:val="30"/>
          <w:szCs w:val="30"/>
        </w:rPr>
      </w:pPr>
      <w:r>
        <w:rPr>
          <w:rFonts w:ascii="仿宋_GB2312;仿宋" w:hAnsi="仿宋_GB2312;仿宋" w:eastAsia="仿宋_GB2312;仿宋"/>
          <w:sz w:val="30"/>
          <w:szCs w:val="30"/>
        </w:rPr>
        <w:t>公务用车购置支出</w:t>
      </w:r>
      <w:r>
        <w:rPr>
          <w:rFonts w:eastAsia="仿宋_GB2312;仿宋" w:ascii="仿宋_GB2312;仿宋" w:hAnsi="仿宋_GB2312;仿宋"/>
          <w:sz w:val="30"/>
          <w:szCs w:val="30"/>
        </w:rPr>
        <w:t>0</w:t>
      </w:r>
      <w:r>
        <w:rPr>
          <w:rFonts w:ascii="仿宋_GB2312;仿宋" w:hAnsi="仿宋_GB2312;仿宋" w:eastAsia="仿宋_GB2312;仿宋"/>
          <w:sz w:val="30"/>
          <w:szCs w:val="30"/>
        </w:rPr>
        <w:t>万元，购置车辆</w:t>
      </w:r>
      <w:r>
        <w:rPr>
          <w:rFonts w:eastAsia="仿宋_GB2312;仿宋" w:ascii="仿宋_GB2312;仿宋" w:hAnsi="仿宋_GB2312;仿宋"/>
          <w:sz w:val="30"/>
          <w:szCs w:val="30"/>
        </w:rPr>
        <w:t>0</w:t>
      </w:r>
      <w:r>
        <w:rPr>
          <w:rFonts w:ascii="仿宋_GB2312;仿宋" w:hAnsi="仿宋_GB2312;仿宋" w:eastAsia="仿宋_GB2312;仿宋"/>
          <w:sz w:val="30"/>
          <w:szCs w:val="30"/>
        </w:rPr>
        <w:t>辆。</w:t>
      </w:r>
    </w:p>
    <w:p>
      <w:pPr>
        <w:pStyle w:val="Normal"/>
        <w:snapToGrid w:val="false"/>
        <w:spacing w:lineRule="exact" w:line="560"/>
        <w:ind w:firstLine="600"/>
        <w:rPr>
          <w:rFonts w:ascii="仿宋_GB2312;仿宋" w:hAnsi="仿宋_GB2312;仿宋" w:eastAsia="仿宋_GB2312;仿宋"/>
          <w:sz w:val="30"/>
          <w:szCs w:val="30"/>
        </w:rPr>
      </w:pPr>
      <w:r>
        <w:rPr>
          <w:rFonts w:ascii="仿宋_GB2312;仿宋" w:hAnsi="仿宋_GB2312;仿宋" w:eastAsia="仿宋_GB2312;仿宋"/>
          <w:sz w:val="30"/>
          <w:szCs w:val="30"/>
        </w:rPr>
        <w:t>公务用车运行维护支出</w:t>
      </w:r>
      <w:r>
        <w:rPr>
          <w:rFonts w:eastAsia="仿宋_GB2312;仿宋" w:ascii="仿宋_GB2312;仿宋" w:hAnsi="仿宋_GB2312;仿宋"/>
          <w:sz w:val="30"/>
          <w:szCs w:val="30"/>
        </w:rPr>
        <w:t>33.08</w:t>
      </w:r>
      <w:r>
        <w:rPr>
          <w:rFonts w:ascii="仿宋_GB2312;仿宋" w:hAnsi="仿宋_GB2312;仿宋" w:eastAsia="仿宋_GB2312;仿宋"/>
          <w:sz w:val="30"/>
          <w:szCs w:val="30"/>
        </w:rPr>
        <w:t>万元，开支一般公共预算财政拨款的公务用车保有量为</w:t>
      </w:r>
      <w:r>
        <w:rPr>
          <w:rFonts w:eastAsia="仿宋_GB2312;仿宋" w:ascii="仿宋_GB2312;仿宋" w:hAnsi="仿宋_GB2312;仿宋"/>
          <w:sz w:val="30"/>
          <w:szCs w:val="30"/>
        </w:rPr>
        <w:t>11</w:t>
      </w:r>
      <w:r>
        <w:rPr>
          <w:rFonts w:ascii="仿宋_GB2312;仿宋" w:hAnsi="仿宋_GB2312;仿宋" w:eastAsia="仿宋_GB2312;仿宋"/>
          <w:sz w:val="30"/>
          <w:szCs w:val="30"/>
        </w:rPr>
        <w:t>辆。主要用于保障食品药品安全监管工作产生的公务用车燃料费、维修费、过路过桥费、保险费等支出。</w:t>
      </w:r>
    </w:p>
    <w:p>
      <w:pPr>
        <w:pStyle w:val="Normal"/>
        <w:snapToGrid w:val="false"/>
        <w:spacing w:lineRule="exact" w:line="560"/>
        <w:ind w:firstLine="600"/>
        <w:rPr>
          <w:rFonts w:ascii="仿宋_GB2312;仿宋" w:hAnsi="仿宋_GB2312;仿宋" w:eastAsia="仿宋_GB2312;仿宋"/>
          <w:sz w:val="30"/>
          <w:szCs w:val="30"/>
        </w:rPr>
      </w:pPr>
      <w:r>
        <w:rPr>
          <w:rFonts w:eastAsia="仿宋_GB2312;仿宋" w:ascii="仿宋_GB2312;仿宋" w:hAnsi="仿宋_GB2312;仿宋"/>
          <w:sz w:val="30"/>
          <w:szCs w:val="30"/>
        </w:rPr>
        <w:t>3.</w:t>
      </w:r>
      <w:r>
        <w:rPr>
          <w:rFonts w:ascii="仿宋_GB2312;仿宋" w:hAnsi="仿宋_GB2312;仿宋" w:eastAsia="仿宋_GB2312;仿宋"/>
          <w:sz w:val="30"/>
          <w:szCs w:val="30"/>
        </w:rPr>
        <w:t>公务接待费支出</w:t>
      </w:r>
      <w:r>
        <w:rPr>
          <w:rFonts w:eastAsia="仿宋_GB2312;仿宋" w:ascii="仿宋_GB2312;仿宋" w:hAnsi="仿宋_GB2312;仿宋"/>
          <w:sz w:val="30"/>
          <w:szCs w:val="30"/>
        </w:rPr>
        <w:t>8.8</w:t>
      </w:r>
      <w:r>
        <w:rPr>
          <w:rFonts w:ascii="仿宋_GB2312;仿宋" w:hAnsi="仿宋_GB2312;仿宋" w:eastAsia="仿宋_GB2312;仿宋"/>
          <w:sz w:val="30"/>
          <w:szCs w:val="30"/>
        </w:rPr>
        <w:t>万元。其中：</w:t>
      </w:r>
    </w:p>
    <w:p>
      <w:pPr>
        <w:pStyle w:val="Normal"/>
        <w:snapToGrid w:val="false"/>
        <w:spacing w:lineRule="exact" w:line="560"/>
        <w:ind w:firstLine="600"/>
        <w:rPr>
          <w:rFonts w:ascii="仿宋_GB2312;仿宋" w:hAnsi="仿宋_GB2312;仿宋" w:eastAsia="仿宋_GB2312;仿宋"/>
          <w:sz w:val="30"/>
          <w:szCs w:val="30"/>
        </w:rPr>
      </w:pPr>
      <w:r>
        <w:rPr>
          <w:rFonts w:ascii="仿宋_GB2312;仿宋" w:hAnsi="仿宋_GB2312;仿宋" w:eastAsia="仿宋_GB2312;仿宋"/>
          <w:sz w:val="30"/>
          <w:szCs w:val="30"/>
        </w:rPr>
        <w:t>国内接待费支出</w:t>
      </w:r>
      <w:r>
        <w:rPr>
          <w:rFonts w:eastAsia="仿宋_GB2312;仿宋" w:ascii="仿宋_GB2312;仿宋" w:hAnsi="仿宋_GB2312;仿宋"/>
          <w:sz w:val="30"/>
          <w:szCs w:val="30"/>
        </w:rPr>
        <w:t>8.8</w:t>
      </w:r>
      <w:r>
        <w:rPr>
          <w:rFonts w:ascii="仿宋_GB2312;仿宋" w:hAnsi="仿宋_GB2312;仿宋" w:eastAsia="仿宋_GB2312;仿宋"/>
          <w:sz w:val="30"/>
          <w:szCs w:val="30"/>
        </w:rPr>
        <w:t>万元（其中：外事接待费支出</w:t>
      </w:r>
      <w:r>
        <w:rPr>
          <w:rFonts w:eastAsia="仿宋_GB2312;仿宋" w:ascii="仿宋_GB2312;仿宋" w:hAnsi="仿宋_GB2312;仿宋"/>
          <w:sz w:val="30"/>
          <w:szCs w:val="30"/>
        </w:rPr>
        <w:t>0</w:t>
      </w:r>
      <w:r>
        <w:rPr>
          <w:rFonts w:ascii="仿宋_GB2312;仿宋" w:hAnsi="仿宋_GB2312;仿宋" w:eastAsia="仿宋_GB2312;仿宋"/>
          <w:sz w:val="30"/>
          <w:szCs w:val="30"/>
        </w:rPr>
        <w:t>万元），共安排国内公务接待</w:t>
      </w:r>
      <w:r>
        <w:rPr>
          <w:rFonts w:eastAsia="仿宋_GB2312;仿宋" w:ascii="仿宋_GB2312;仿宋" w:hAnsi="仿宋_GB2312;仿宋"/>
          <w:sz w:val="30"/>
          <w:szCs w:val="30"/>
        </w:rPr>
        <w:t>163</w:t>
      </w:r>
      <w:r>
        <w:rPr>
          <w:rFonts w:ascii="仿宋_GB2312;仿宋" w:hAnsi="仿宋_GB2312;仿宋" w:eastAsia="仿宋_GB2312;仿宋"/>
          <w:sz w:val="30"/>
          <w:szCs w:val="30"/>
        </w:rPr>
        <w:t>批次（其中：外事接待</w:t>
      </w:r>
      <w:r>
        <w:rPr>
          <w:rFonts w:eastAsia="仿宋_GB2312;仿宋" w:ascii="仿宋_GB2312;仿宋" w:hAnsi="仿宋_GB2312;仿宋"/>
          <w:sz w:val="30"/>
          <w:szCs w:val="30"/>
        </w:rPr>
        <w:t>0</w:t>
      </w:r>
      <w:r>
        <w:rPr>
          <w:rFonts w:ascii="仿宋_GB2312;仿宋" w:hAnsi="仿宋_GB2312;仿宋" w:eastAsia="仿宋_GB2312;仿宋"/>
          <w:sz w:val="30"/>
          <w:szCs w:val="30"/>
        </w:rPr>
        <w:t>批次），接待人次</w:t>
      </w:r>
      <w:r>
        <w:rPr>
          <w:rFonts w:eastAsia="仿宋_GB2312;仿宋" w:ascii="仿宋_GB2312;仿宋" w:hAnsi="仿宋_GB2312;仿宋"/>
          <w:sz w:val="30"/>
          <w:szCs w:val="30"/>
        </w:rPr>
        <w:t>1682</w:t>
      </w:r>
      <w:r>
        <w:rPr>
          <w:rFonts w:ascii="仿宋_GB2312;仿宋" w:hAnsi="仿宋_GB2312;仿宋" w:eastAsia="仿宋_GB2312;仿宋"/>
          <w:sz w:val="30"/>
          <w:szCs w:val="30"/>
        </w:rPr>
        <w:t>人（其中：外事接待人次</w:t>
      </w:r>
      <w:r>
        <w:rPr>
          <w:rFonts w:eastAsia="仿宋_GB2312;仿宋" w:ascii="仿宋_GB2312;仿宋" w:hAnsi="仿宋_GB2312;仿宋"/>
          <w:sz w:val="30"/>
          <w:szCs w:val="30"/>
        </w:rPr>
        <w:t>0</w:t>
      </w:r>
      <w:r>
        <w:rPr>
          <w:rFonts w:ascii="仿宋_GB2312;仿宋" w:hAnsi="仿宋_GB2312;仿宋" w:eastAsia="仿宋_GB2312;仿宋"/>
          <w:sz w:val="30"/>
          <w:szCs w:val="30"/>
        </w:rPr>
        <w:t>人）。主要用于接待相关部门生物医药产业发展调研、食品药品案件协查、</w:t>
      </w:r>
      <w:r>
        <w:rPr>
          <w:rFonts w:eastAsia="仿宋_GB2312;仿宋" w:ascii="仿宋_GB2312;仿宋" w:hAnsi="仿宋_GB2312;仿宋"/>
          <w:sz w:val="30"/>
          <w:szCs w:val="30"/>
        </w:rPr>
        <w:t>GSP</w:t>
      </w:r>
      <w:r>
        <w:rPr>
          <w:rFonts w:ascii="仿宋_GB2312;仿宋" w:hAnsi="仿宋_GB2312;仿宋" w:eastAsia="仿宋_GB2312;仿宋"/>
          <w:sz w:val="30"/>
          <w:szCs w:val="30"/>
        </w:rPr>
        <w:t>飞行检查、食品药品安全风险检验监测等工作产生的费用。</w:t>
      </w:r>
    </w:p>
    <w:p>
      <w:pPr>
        <w:pStyle w:val="Normal"/>
        <w:snapToGrid w:val="false"/>
        <w:spacing w:lineRule="exact" w:line="560"/>
        <w:ind w:firstLine="600"/>
        <w:rPr>
          <w:rFonts w:ascii="仿宋_GB2312;仿宋" w:hAnsi="仿宋_GB2312;仿宋" w:eastAsia="仿宋_GB2312;仿宋"/>
          <w:sz w:val="30"/>
          <w:szCs w:val="30"/>
        </w:rPr>
      </w:pPr>
      <w:r>
        <w:rPr>
          <w:rFonts w:ascii="仿宋_GB2312;仿宋" w:hAnsi="仿宋_GB2312;仿宋" w:eastAsia="仿宋_GB2312;仿宋"/>
          <w:sz w:val="30"/>
          <w:szCs w:val="30"/>
        </w:rPr>
        <w:t>国（境）外接待费支出</w:t>
      </w:r>
      <w:r>
        <w:rPr>
          <w:rFonts w:eastAsia="仿宋_GB2312;仿宋" w:ascii="仿宋_GB2312;仿宋" w:hAnsi="仿宋_GB2312;仿宋"/>
          <w:sz w:val="30"/>
          <w:szCs w:val="30"/>
        </w:rPr>
        <w:t>0</w:t>
      </w:r>
      <w:r>
        <w:rPr>
          <w:rFonts w:ascii="仿宋_GB2312;仿宋" w:hAnsi="仿宋_GB2312;仿宋" w:eastAsia="仿宋_GB2312;仿宋"/>
          <w:sz w:val="30"/>
          <w:szCs w:val="30"/>
        </w:rPr>
        <w:t>万元。</w:t>
      </w:r>
    </w:p>
    <w:p>
      <w:pPr>
        <w:pStyle w:val="Normal"/>
        <w:snapToGrid w:val="false"/>
        <w:spacing w:lineRule="exact" w:line="560"/>
        <w:ind w:firstLine="600"/>
        <w:rPr>
          <w:rFonts w:ascii="黑体;SimHei" w:hAnsi="黑体;SimHei" w:eastAsia="黑体;SimHei" w:cs="黑体;SimHei"/>
          <w:sz w:val="30"/>
          <w:szCs w:val="30"/>
        </w:rPr>
      </w:pPr>
      <w:r>
        <w:rPr>
          <w:rFonts w:ascii="黑体;SimHei" w:hAnsi="黑体;SimHei" w:cs="黑体;SimHei" w:eastAsia="黑体;SimHei"/>
          <w:sz w:val="30"/>
          <w:szCs w:val="30"/>
        </w:rPr>
        <w:t>五、其他重要事项及相关口径情况说明</w:t>
      </w:r>
    </w:p>
    <w:p>
      <w:pPr>
        <w:pStyle w:val="Normal"/>
        <w:snapToGrid w:val="false"/>
        <w:spacing w:lineRule="exact" w:line="560"/>
        <w:ind w:firstLine="600"/>
        <w:rPr>
          <w:rFonts w:ascii="楷体_GB2312;Arial Unicode MS" w:hAnsi="楷体_GB2312;Arial Unicode MS" w:eastAsia="楷体_GB2312;Arial Unicode MS" w:cs="方正小标宋简体;Arial Unicode MS"/>
          <w:sz w:val="30"/>
          <w:szCs w:val="30"/>
        </w:rPr>
      </w:pPr>
      <w:r>
        <w:rPr>
          <w:rFonts w:ascii="楷体_GB2312;Arial Unicode MS" w:hAnsi="楷体_GB2312;Arial Unicode MS" w:cs="方正小标宋简体;Arial Unicode MS" w:eastAsia="楷体_GB2312;Arial Unicode MS"/>
          <w:sz w:val="30"/>
          <w:szCs w:val="30"/>
        </w:rPr>
        <w:t>（一）机关运行经费支出</w:t>
      </w:r>
    </w:p>
    <w:p>
      <w:pPr>
        <w:pStyle w:val="Normal"/>
        <w:snapToGrid w:val="false"/>
        <w:spacing w:lineRule="exact" w:line="560"/>
        <w:ind w:firstLine="600"/>
        <w:rPr>
          <w:rFonts w:ascii="仿宋_GB2312;仿宋" w:hAnsi="仿宋_GB2312;仿宋" w:eastAsia="仿宋_GB2312;仿宋"/>
          <w:sz w:val="30"/>
          <w:szCs w:val="30"/>
        </w:rPr>
      </w:pPr>
      <w:r>
        <w:rPr>
          <w:rFonts w:eastAsia="仿宋_GB2312;仿宋" w:ascii="仿宋_GB2312;仿宋" w:hAnsi="仿宋_GB2312;仿宋"/>
          <w:sz w:val="30"/>
          <w:szCs w:val="30"/>
        </w:rPr>
        <w:t>2017</w:t>
      </w:r>
      <w:r>
        <w:rPr>
          <w:rFonts w:ascii="仿宋_GB2312;仿宋" w:hAnsi="仿宋_GB2312;仿宋" w:eastAsia="仿宋_GB2312;仿宋"/>
          <w:sz w:val="30"/>
          <w:szCs w:val="30"/>
        </w:rPr>
        <w:t>年机关运行经费支出</w:t>
      </w:r>
      <w:r>
        <w:rPr>
          <w:rFonts w:eastAsia="仿宋_GB2312;仿宋" w:ascii="仿宋_GB2312;仿宋" w:hAnsi="仿宋_GB2312;仿宋"/>
          <w:sz w:val="30"/>
          <w:szCs w:val="30"/>
        </w:rPr>
        <w:t>120.15</w:t>
      </w:r>
      <w:r>
        <w:rPr>
          <w:rFonts w:ascii="仿宋_GB2312;仿宋" w:hAnsi="仿宋_GB2312;仿宋" w:eastAsia="仿宋_GB2312;仿宋"/>
          <w:sz w:val="30"/>
          <w:szCs w:val="30"/>
        </w:rPr>
        <w:t>万元，</w:t>
      </w:r>
      <w:r>
        <w:rPr>
          <w:rFonts w:ascii="仿宋_GB2312;仿宋" w:hAnsi="仿宋_GB2312;仿宋" w:cs="Arial" w:eastAsia="仿宋_GB2312;仿宋"/>
          <w:kern w:val="0"/>
          <w:sz w:val="30"/>
          <w:szCs w:val="30"/>
        </w:rPr>
        <w:t>与</w:t>
      </w:r>
      <w:r>
        <w:rPr>
          <w:rFonts w:eastAsia="仿宋_GB2312;仿宋" w:cs="Arial" w:ascii="仿宋_GB2312;仿宋" w:hAnsi="仿宋_GB2312;仿宋"/>
          <w:kern w:val="0"/>
          <w:sz w:val="30"/>
          <w:szCs w:val="30"/>
        </w:rPr>
        <w:t>2016</w:t>
      </w:r>
      <w:r>
        <w:rPr>
          <w:rFonts w:ascii="仿宋_GB2312;仿宋" w:hAnsi="仿宋_GB2312;仿宋" w:cs="Arial" w:eastAsia="仿宋_GB2312;仿宋"/>
          <w:kern w:val="0"/>
          <w:sz w:val="30"/>
          <w:szCs w:val="30"/>
        </w:rPr>
        <w:t>年</w:t>
      </w:r>
      <w:r>
        <w:rPr>
          <w:rFonts w:eastAsia="仿宋_GB2312;仿宋" w:ascii="仿宋_GB2312;仿宋" w:hAnsi="仿宋_GB2312;仿宋"/>
          <w:sz w:val="30"/>
          <w:szCs w:val="30"/>
        </w:rPr>
        <w:t>111.89</w:t>
      </w:r>
      <w:r>
        <w:rPr>
          <w:rFonts w:ascii="仿宋_GB2312;仿宋" w:hAnsi="仿宋_GB2312;仿宋" w:cs="Arial" w:eastAsia="仿宋_GB2312;仿宋"/>
          <w:kern w:val="0"/>
          <w:sz w:val="30"/>
          <w:szCs w:val="30"/>
        </w:rPr>
        <w:t>万元相比增加</w:t>
      </w:r>
      <w:r>
        <w:rPr>
          <w:rFonts w:eastAsia="仿宋_GB2312;仿宋" w:cs="Arial" w:ascii="仿宋_GB2312;仿宋" w:hAnsi="仿宋_GB2312;仿宋"/>
          <w:kern w:val="0"/>
          <w:sz w:val="30"/>
          <w:szCs w:val="30"/>
        </w:rPr>
        <w:t>8.26</w:t>
      </w:r>
      <w:r>
        <w:rPr>
          <w:rFonts w:ascii="仿宋_GB2312;仿宋" w:hAnsi="仿宋_GB2312;仿宋" w:cs="Arial" w:eastAsia="仿宋_GB2312;仿宋"/>
          <w:kern w:val="0"/>
          <w:sz w:val="30"/>
          <w:szCs w:val="30"/>
        </w:rPr>
        <w:t>万元。机关运行经费主要用于办公费、印刷费、水电费、差旅费、培训费、</w:t>
      </w:r>
      <w:r>
        <w:rPr>
          <w:rFonts w:ascii="仿宋_GB2312;仿宋" w:hAnsi="仿宋_GB2312;仿宋" w:eastAsia="仿宋_GB2312;仿宋"/>
          <w:sz w:val="30"/>
          <w:szCs w:val="30"/>
        </w:rPr>
        <w:t>公务用车运行费</w:t>
      </w:r>
      <w:r>
        <w:rPr>
          <w:rFonts w:ascii="仿宋_GB2312;仿宋" w:hAnsi="仿宋_GB2312;仿宋" w:cs="Arial" w:eastAsia="仿宋_GB2312;仿宋"/>
          <w:kern w:val="0"/>
          <w:sz w:val="30"/>
          <w:szCs w:val="30"/>
        </w:rPr>
        <w:t>等。</w:t>
      </w:r>
    </w:p>
    <w:p>
      <w:pPr>
        <w:pStyle w:val="Normal"/>
        <w:spacing w:lineRule="exact" w:line="560"/>
        <w:ind w:firstLine="600"/>
        <w:rPr>
          <w:rFonts w:ascii="楷体_GB2312;Arial Unicode MS" w:hAnsi="楷体_GB2312;Arial Unicode MS" w:eastAsia="楷体_GB2312;Arial Unicode MS" w:cs="方正小标宋简体;Arial Unicode MS"/>
          <w:sz w:val="30"/>
          <w:szCs w:val="30"/>
        </w:rPr>
      </w:pPr>
      <w:r>
        <w:rPr>
          <w:rFonts w:ascii="楷体_GB2312;Arial Unicode MS" w:hAnsi="楷体_GB2312;Arial Unicode MS" w:cs="方正小标宋简体;Arial Unicode MS" w:eastAsia="楷体_GB2312;Arial Unicode MS"/>
          <w:sz w:val="30"/>
          <w:szCs w:val="30"/>
        </w:rPr>
        <w:t>（二）国有资产占用情况</w:t>
      </w:r>
    </w:p>
    <w:p>
      <w:pPr>
        <w:pStyle w:val="Normal"/>
        <w:spacing w:lineRule="exact" w:line="560"/>
        <w:ind w:firstLine="600"/>
        <w:rPr/>
      </w:pPr>
      <w:r>
        <w:rPr/>
        <w:t>截至</w:t>
      </w:r>
      <w:r>
        <w:rPr/>
        <w:t>2017</w:t>
      </w:r>
      <w:r>
        <w:rPr/>
        <w:t>年</w:t>
      </w:r>
      <w:r>
        <w:rPr/>
        <w:t>12</w:t>
      </w:r>
      <w:r>
        <w:rPr/>
        <w:t>月</w:t>
      </w:r>
      <w:r>
        <w:rPr/>
        <w:t>31</w:t>
      </w:r>
      <w:r>
        <w:rPr/>
        <w:t>日，部门资产总额</w:t>
      </w:r>
      <w:r>
        <w:rPr/>
        <w:t>8,148.32</w:t>
      </w:r>
      <w:r>
        <w:rPr/>
        <w:t>万元，其中，流动资产</w:t>
      </w:r>
      <w:r>
        <w:rPr/>
        <w:t>2,954.80</w:t>
      </w:r>
      <w:r>
        <w:rPr/>
        <w:t>万元，固定资产</w:t>
      </w:r>
      <w:r>
        <w:rPr/>
        <w:t>4,771.71</w:t>
      </w:r>
      <w:r>
        <w:rPr/>
        <w:t>万元，对外投资及有价证券</w:t>
      </w:r>
      <w:r>
        <w:rPr/>
        <w:t>0</w:t>
      </w:r>
      <w:r>
        <w:rPr/>
        <w:t>万元，在建工程</w:t>
      </w:r>
      <w:r>
        <w:rPr/>
        <w:t>421.81</w:t>
      </w:r>
      <w:r>
        <w:rPr/>
        <w:t>万元，无形资产</w:t>
      </w:r>
      <w:r>
        <w:rPr/>
        <w:t>0</w:t>
      </w:r>
      <w:r>
        <w:rPr/>
        <w:t>万元，其他资产</w:t>
      </w:r>
      <w:r>
        <w:rPr/>
        <w:t>0</w:t>
      </w:r>
      <w:r>
        <w:rPr/>
        <w:t>万元（具体内容详见附表）。与上年相比，本年资产总额增加</w:t>
      </w:r>
      <w:r>
        <w:rPr/>
        <w:t>918.07</w:t>
      </w:r>
      <w:r>
        <w:rPr/>
        <w:t>万元，其中固定资产增加</w:t>
      </w:r>
      <w:r>
        <w:rPr/>
        <w:t>18.13</w:t>
      </w:r>
      <w:r>
        <w:rPr/>
        <w:t>万元。处置房屋建筑物</w:t>
      </w:r>
      <w:r>
        <w:rPr/>
        <w:t>0</w:t>
      </w:r>
      <w:r>
        <w:rPr/>
        <w:t>平方米，账面原值</w:t>
      </w:r>
      <w:r>
        <w:rPr/>
        <w:t>0</w:t>
      </w:r>
      <w:r>
        <w:rPr/>
        <w:t>万元；处置车辆</w:t>
      </w:r>
      <w:r>
        <w:rPr/>
        <w:t>2</w:t>
      </w:r>
      <w:r>
        <w:rPr/>
        <w:t>辆，账面原值</w:t>
      </w:r>
      <w:r>
        <w:rPr/>
        <w:t>42.19</w:t>
      </w:r>
      <w:r>
        <w:rPr/>
        <w:t>万元；报废报损资产</w:t>
      </w:r>
      <w:r>
        <w:rPr/>
        <w:t>0</w:t>
      </w:r>
      <w:r>
        <w:rPr/>
        <w:t>项，账面原值</w:t>
      </w:r>
      <w:r>
        <w:rPr/>
        <w:t>0</w:t>
      </w:r>
      <w:r>
        <w:rPr/>
        <w:t>万元，实现资产处置收入</w:t>
      </w:r>
      <w:r>
        <w:rPr/>
        <w:t>0</w:t>
      </w:r>
      <w:r>
        <w:rPr/>
        <w:t>万元；出租房屋</w:t>
      </w:r>
      <w:r>
        <w:rPr/>
        <w:t>1,917.26</w:t>
      </w:r>
      <w:r>
        <w:rPr/>
        <w:t>平方米，账面原值</w:t>
      </w:r>
      <w:r>
        <w:rPr/>
        <w:t>2,144.00</w:t>
      </w:r>
      <w:r>
        <w:rPr/>
        <w:t>万元，实现资产使用收入</w:t>
      </w:r>
      <w:r>
        <w:rPr/>
        <w:t>44</w:t>
      </w:r>
      <w:r>
        <w:rPr/>
        <w:t>万元（全额上缴市财政局）。</w:t>
      </w:r>
    </w:p>
    <w:tbl>
      <w:tblPr>
        <w:tblW w:w="10270" w:type="dxa"/>
        <w:jc w:val="left"/>
        <w:tblInd w:w="-5" w:type="dxa"/>
        <w:tblCellMar>
          <w:top w:w="15" w:type="dxa"/>
          <w:left w:w="15" w:type="dxa"/>
          <w:bottom w:w="15" w:type="dxa"/>
          <w:right w:w="15" w:type="dxa"/>
        </w:tblCellMar>
      </w:tblPr>
      <w:tblGrid>
        <w:gridCol w:w="720"/>
        <w:gridCol w:w="540"/>
        <w:gridCol w:w="720"/>
        <w:gridCol w:w="720"/>
        <w:gridCol w:w="720"/>
        <w:gridCol w:w="1065"/>
        <w:gridCol w:w="15"/>
        <w:gridCol w:w="720"/>
        <w:gridCol w:w="130"/>
        <w:gridCol w:w="950"/>
        <w:gridCol w:w="24"/>
        <w:gridCol w:w="50"/>
        <w:gridCol w:w="646"/>
        <w:gridCol w:w="720"/>
        <w:gridCol w:w="720"/>
        <w:gridCol w:w="377"/>
        <w:gridCol w:w="343"/>
        <w:gridCol w:w="275"/>
        <w:gridCol w:w="265"/>
        <w:gridCol w:w="10"/>
        <w:gridCol w:w="85"/>
        <w:gridCol w:w="142"/>
        <w:gridCol w:w="303"/>
        <w:gridCol w:w="10"/>
      </w:tblGrid>
      <w:tr>
        <w:trPr>
          <w:trHeight w:val="495" w:hRule="atLeast"/>
        </w:trPr>
        <w:tc>
          <w:tcPr>
            <w:tcW w:w="9720" w:type="dxa"/>
            <w:gridSpan w:val="19"/>
            <w:tcBorders/>
            <w:shd w:fill="FFFFFF" w:val="clear"/>
            <w:vAlign w:val="center"/>
          </w:tcPr>
          <w:p>
            <w:pPr>
              <w:pStyle w:val="Normal"/>
              <w:jc w:val="center"/>
              <w:textAlignment w:val="center"/>
              <w:rPr>
                <w:rFonts w:ascii="宋体;SimSun" w:hAnsi="宋体;SimSun" w:cs="宋体;SimSun"/>
                <w:color w:val="000000"/>
                <w:kern w:val="0"/>
                <w:sz w:val="24"/>
              </w:rPr>
            </w:pPr>
            <w:r>
              <w:rPr>
                <w:rFonts w:ascii="仿宋_GB2312;仿宋" w:hAnsi="仿宋_GB2312;仿宋" w:cs="方正小标宋_GBK;Arial Unicode MS" w:eastAsia="仿宋_GB2312;仿宋"/>
                <w:b/>
                <w:color w:val="000000"/>
                <w:kern w:val="0"/>
                <w:sz w:val="30"/>
                <w:szCs w:val="30"/>
                <w:lang w:bidi="ar"/>
              </w:rPr>
              <w:t>国有资产占有使用情况表</w:t>
            </w:r>
          </w:p>
        </w:tc>
        <w:tc>
          <w:tcPr>
            <w:tcW w:w="550" w:type="dxa"/>
            <w:gridSpan w:val="4"/>
            <w:tcBorders/>
            <w:tcMar>
              <w:top w:w="0" w:type="dxa"/>
              <w:left w:w="0" w:type="dxa"/>
              <w:bottom w:w="0" w:type="dxa"/>
              <w:right w:w="0" w:type="dxa"/>
            </w:tcMar>
          </w:tcPr>
          <w:p>
            <w:pPr>
              <w:pStyle w:val="Normal"/>
              <w:snapToGrid w:val="false"/>
              <w:rPr>
                <w:rFonts w:ascii="宋体;SimSun" w:hAnsi="宋体;SimSun" w:cs="宋体;SimSun"/>
                <w:color w:val="000000"/>
                <w:kern w:val="0"/>
                <w:sz w:val="24"/>
              </w:rPr>
            </w:pPr>
            <w:r>
              <w:rPr>
                <w:rFonts w:cs="宋体;SimSun" w:ascii="宋体;SimSun" w:hAnsi="宋体;SimSun"/>
                <w:color w:val="000000"/>
                <w:kern w:val="0"/>
                <w:sz w:val="24"/>
              </w:rPr>
            </w:r>
          </w:p>
        </w:tc>
      </w:tr>
      <w:tr>
        <w:trPr>
          <w:trHeight w:val="347" w:hRule="atLeast"/>
        </w:trPr>
        <w:tc>
          <w:tcPr>
            <w:tcW w:w="4485" w:type="dxa"/>
            <w:gridSpan w:val="6"/>
            <w:tcBorders>
              <w:bottom w:val="single" w:sz="4" w:space="0" w:color="808080"/>
            </w:tcBorders>
            <w:shd w:fill="FFFFFF" w:val="clear"/>
            <w:vAlign w:val="center"/>
          </w:tcPr>
          <w:p>
            <w:pPr>
              <w:pStyle w:val="Normal"/>
              <w:jc w:val="left"/>
              <w:textAlignment w:val="center"/>
              <w:rPr>
                <w:rFonts w:ascii="宋体;SimSun" w:hAnsi="宋体;SimSun" w:cs="宋体;SimSun"/>
                <w:color w:val="000000"/>
                <w:kern w:val="0"/>
                <w:sz w:val="24"/>
              </w:rPr>
            </w:pPr>
            <w:r>
              <w:rPr>
                <w:rFonts w:cs="宋体;SimSun" w:ascii="宋体;SimSun" w:hAnsi="宋体;SimSun"/>
                <w:color w:val="000000"/>
                <w:kern w:val="0"/>
                <w:sz w:val="20"/>
                <w:szCs w:val="20"/>
              </w:rPr>
              <w:t> </w:t>
            </w:r>
          </w:p>
        </w:tc>
        <w:tc>
          <w:tcPr>
            <w:tcW w:w="865" w:type="dxa"/>
            <w:gridSpan w:val="3"/>
            <w:tcBorders>
              <w:bottom w:val="single" w:sz="4" w:space="0" w:color="808080"/>
            </w:tcBorders>
            <w:shd w:fill="FFFFFF" w:val="clear"/>
            <w:tcMar>
              <w:top w:w="0" w:type="dxa"/>
              <w:left w:w="0" w:type="dxa"/>
              <w:bottom w:w="0" w:type="dxa"/>
              <w:right w:w="0" w:type="dxa"/>
            </w:tcMar>
            <w:vAlign w:val="center"/>
          </w:tcPr>
          <w:p>
            <w:pPr>
              <w:pStyle w:val="Normal"/>
              <w:jc w:val="left"/>
              <w:rPr>
                <w:rFonts w:ascii="宋体;SimSun" w:hAnsi="宋体;SimSun" w:cs="宋体;SimSun"/>
                <w:color w:val="000000"/>
                <w:kern w:val="0"/>
                <w:sz w:val="24"/>
              </w:rPr>
            </w:pPr>
            <w:r>
              <w:rPr>
                <w:rFonts w:cs="宋体;SimSun" w:ascii="宋体;SimSun" w:hAnsi="宋体;SimSun"/>
                <w:color w:val="000000"/>
                <w:kern w:val="0"/>
                <w:sz w:val="20"/>
                <w:szCs w:val="20"/>
              </w:rPr>
              <w:t> </w:t>
            </w:r>
          </w:p>
        </w:tc>
        <w:tc>
          <w:tcPr>
            <w:tcW w:w="974" w:type="dxa"/>
            <w:gridSpan w:val="2"/>
            <w:tcBorders>
              <w:bottom w:val="single" w:sz="4" w:space="0" w:color="808080"/>
            </w:tcBorders>
            <w:shd w:fill="FFFFFF" w:val="clear"/>
            <w:tcMar>
              <w:top w:w="0" w:type="dxa"/>
              <w:left w:w="0" w:type="dxa"/>
              <w:bottom w:w="0" w:type="dxa"/>
              <w:right w:w="0" w:type="dxa"/>
            </w:tcMar>
            <w:vAlign w:val="center"/>
          </w:tcPr>
          <w:p>
            <w:pPr>
              <w:pStyle w:val="Normal"/>
              <w:jc w:val="left"/>
              <w:rPr>
                <w:rFonts w:ascii="宋体;SimSun" w:hAnsi="宋体;SimSun" w:cs="宋体;SimSun"/>
                <w:color w:val="000000"/>
                <w:kern w:val="0"/>
                <w:sz w:val="24"/>
              </w:rPr>
            </w:pPr>
            <w:r>
              <w:rPr>
                <w:rFonts w:cs="宋体;SimSun" w:ascii="宋体;SimSun" w:hAnsi="宋体;SimSun"/>
                <w:color w:val="000000"/>
                <w:kern w:val="0"/>
                <w:sz w:val="20"/>
                <w:szCs w:val="20"/>
              </w:rPr>
              <w:t> </w:t>
            </w:r>
          </w:p>
        </w:tc>
        <w:tc>
          <w:tcPr>
            <w:tcW w:w="50" w:type="dxa"/>
            <w:tcBorders>
              <w:bottom w:val="single" w:sz="4" w:space="0" w:color="808080"/>
            </w:tcBorders>
            <w:shd w:fill="FFFFFF" w:val="clear"/>
            <w:tcMar>
              <w:top w:w="0" w:type="dxa"/>
              <w:left w:w="0" w:type="dxa"/>
              <w:bottom w:w="0" w:type="dxa"/>
              <w:right w:w="0" w:type="dxa"/>
            </w:tcMar>
            <w:vAlign w:val="center"/>
          </w:tcPr>
          <w:p>
            <w:pPr>
              <w:pStyle w:val="Normal"/>
              <w:jc w:val="left"/>
              <w:rPr>
                <w:rFonts w:ascii="宋体;SimSun" w:hAnsi="宋体;SimSun" w:cs="宋体;SimSun"/>
                <w:color w:val="000000"/>
                <w:kern w:val="0"/>
                <w:sz w:val="24"/>
              </w:rPr>
            </w:pPr>
            <w:r>
              <w:rPr>
                <w:rFonts w:cs="宋体;SimSun" w:ascii="宋体;SimSun" w:hAnsi="宋体;SimSun"/>
                <w:color w:val="000000"/>
                <w:kern w:val="0"/>
                <w:sz w:val="20"/>
                <w:szCs w:val="20"/>
              </w:rPr>
              <w:t> </w:t>
            </w:r>
          </w:p>
        </w:tc>
        <w:tc>
          <w:tcPr>
            <w:tcW w:w="1366" w:type="dxa"/>
            <w:gridSpan w:val="2"/>
            <w:tcBorders>
              <w:bottom w:val="single" w:sz="4" w:space="0" w:color="808080"/>
            </w:tcBorders>
            <w:shd w:fill="FFFFFF" w:val="clear"/>
            <w:tcMar>
              <w:top w:w="0" w:type="dxa"/>
              <w:left w:w="0" w:type="dxa"/>
              <w:bottom w:w="0" w:type="dxa"/>
              <w:right w:w="0" w:type="dxa"/>
            </w:tcMar>
            <w:vAlign w:val="center"/>
          </w:tcPr>
          <w:p>
            <w:pPr>
              <w:pStyle w:val="Normal"/>
              <w:jc w:val="left"/>
              <w:rPr>
                <w:rFonts w:ascii="宋体;SimSun" w:hAnsi="宋体;SimSun" w:cs="宋体;SimSun"/>
                <w:color w:val="000000"/>
                <w:kern w:val="0"/>
                <w:sz w:val="24"/>
              </w:rPr>
            </w:pPr>
            <w:r>
              <w:rPr>
                <w:rFonts w:cs="宋体;SimSun" w:ascii="宋体;SimSun" w:hAnsi="宋体;SimSun"/>
                <w:color w:val="000000"/>
                <w:kern w:val="0"/>
                <w:sz w:val="20"/>
                <w:szCs w:val="20"/>
              </w:rPr>
              <w:t> </w:t>
            </w:r>
          </w:p>
        </w:tc>
        <w:tc>
          <w:tcPr>
            <w:tcW w:w="720" w:type="dxa"/>
            <w:tcBorders>
              <w:bottom w:val="single" w:sz="4" w:space="0" w:color="808080"/>
            </w:tcBorders>
            <w:shd w:fill="FFFFFF" w:val="clear"/>
            <w:tcMar>
              <w:top w:w="0" w:type="dxa"/>
              <w:left w:w="0" w:type="dxa"/>
              <w:bottom w:w="0" w:type="dxa"/>
              <w:right w:w="0" w:type="dxa"/>
            </w:tcMar>
            <w:vAlign w:val="center"/>
          </w:tcPr>
          <w:p>
            <w:pPr>
              <w:pStyle w:val="Normal"/>
              <w:jc w:val="left"/>
              <w:rPr>
                <w:rFonts w:ascii="宋体;SimSun" w:hAnsi="宋体;SimSun" w:cs="宋体;SimSun"/>
                <w:color w:val="000000"/>
                <w:kern w:val="0"/>
                <w:sz w:val="24"/>
              </w:rPr>
            </w:pPr>
            <w:r>
              <w:rPr>
                <w:rFonts w:cs="宋体;SimSun" w:ascii="宋体;SimSun" w:hAnsi="宋体;SimSun"/>
                <w:color w:val="000000"/>
                <w:kern w:val="0"/>
                <w:sz w:val="20"/>
                <w:szCs w:val="20"/>
              </w:rPr>
              <w:t> </w:t>
            </w:r>
          </w:p>
        </w:tc>
        <w:tc>
          <w:tcPr>
            <w:tcW w:w="1260" w:type="dxa"/>
            <w:gridSpan w:val="4"/>
            <w:tcBorders>
              <w:bottom w:val="single" w:sz="4" w:space="0" w:color="808080"/>
            </w:tcBorders>
            <w:shd w:fill="FFFFFF" w:val="clear"/>
            <w:tcMar>
              <w:top w:w="0" w:type="dxa"/>
              <w:left w:w="0" w:type="dxa"/>
              <w:bottom w:w="0" w:type="dxa"/>
              <w:right w:w="0" w:type="dxa"/>
            </w:tcMar>
            <w:vAlign w:val="center"/>
          </w:tcPr>
          <w:p>
            <w:pPr>
              <w:pStyle w:val="Normal"/>
              <w:jc w:val="right"/>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单位：万元</w:t>
            </w:r>
          </w:p>
        </w:tc>
        <w:tc>
          <w:tcPr>
            <w:tcW w:w="550" w:type="dxa"/>
            <w:gridSpan w:val="4"/>
            <w:tcBorders/>
            <w:tcMar>
              <w:top w:w="0" w:type="dxa"/>
              <w:left w:w="0" w:type="dxa"/>
              <w:bottom w:w="0" w:type="dxa"/>
              <w:right w:w="0" w:type="dxa"/>
            </w:tcMar>
          </w:tcPr>
          <w:p>
            <w:pPr>
              <w:pStyle w:val="Normal"/>
              <w:snapToGrid w:val="false"/>
              <w:rPr>
                <w:rFonts w:ascii="宋体;SimSun" w:hAnsi="宋体;SimSun" w:cs="宋体;SimSun"/>
                <w:color w:val="000000"/>
                <w:kern w:val="0"/>
                <w:sz w:val="24"/>
              </w:rPr>
            </w:pPr>
            <w:r>
              <w:rPr>
                <w:rFonts w:cs="宋体;SimSun" w:ascii="宋体;SimSun" w:hAnsi="宋体;SimSun"/>
                <w:color w:val="000000"/>
                <w:kern w:val="0"/>
                <w:sz w:val="24"/>
              </w:rPr>
            </w:r>
          </w:p>
        </w:tc>
      </w:tr>
      <w:tr>
        <w:trPr>
          <w:trHeight w:val="415" w:hRule="atLeast"/>
        </w:trPr>
        <w:tc>
          <w:tcPr>
            <w:tcW w:w="720" w:type="dxa"/>
            <w:vMerge w:val="restart"/>
            <w:tcBorders>
              <w:top w:val="single" w:sz="4" w:space="0" w:color="000000"/>
              <w:left w:val="single" w:sz="4" w:space="0" w:color="000000"/>
              <w:bottom w:val="single" w:sz="4" w:space="0" w:color="000000"/>
            </w:tcBorders>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项目</w:t>
            </w:r>
          </w:p>
        </w:tc>
        <w:tc>
          <w:tcPr>
            <w:tcW w:w="54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行次</w:t>
            </w:r>
          </w:p>
        </w:tc>
        <w:tc>
          <w:tcPr>
            <w:tcW w:w="72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资产总额</w:t>
            </w:r>
          </w:p>
        </w:tc>
        <w:tc>
          <w:tcPr>
            <w:tcW w:w="72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流动资产</w:t>
            </w:r>
          </w:p>
        </w:tc>
        <w:tc>
          <w:tcPr>
            <w:tcW w:w="4320" w:type="dxa"/>
            <w:gridSpan w:val="9"/>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固定资产</w:t>
            </w:r>
          </w:p>
        </w:tc>
        <w:tc>
          <w:tcPr>
            <w:tcW w:w="72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对外投资</w:t>
            </w:r>
            <w:r>
              <w:rPr>
                <w:rFonts w:cs="宋体;SimSun" w:ascii="宋体;SimSun" w:hAnsi="宋体;SimSun"/>
                <w:color w:val="000000"/>
                <w:kern w:val="0"/>
                <w:sz w:val="20"/>
                <w:szCs w:val="20"/>
                <w:lang w:bidi="ar"/>
              </w:rPr>
              <w:t>/</w:t>
            </w:r>
            <w:r>
              <w:rPr>
                <w:rFonts w:ascii="宋体;SimSun" w:hAnsi="宋体;SimSun" w:cs="宋体;SimSun"/>
                <w:color w:val="000000"/>
                <w:kern w:val="0"/>
                <w:sz w:val="20"/>
                <w:szCs w:val="20"/>
                <w:lang w:bidi="ar"/>
              </w:rPr>
              <w:t>有价证券</w:t>
            </w:r>
          </w:p>
        </w:tc>
        <w:tc>
          <w:tcPr>
            <w:tcW w:w="72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在建工程</w:t>
            </w:r>
          </w:p>
        </w:tc>
        <w:tc>
          <w:tcPr>
            <w:tcW w:w="720" w:type="dxa"/>
            <w:gridSpan w:val="2"/>
            <w:vMerge w:val="restart"/>
            <w:tcBorders>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无形资产</w:t>
            </w:r>
          </w:p>
        </w:tc>
        <w:tc>
          <w:tcPr>
            <w:tcW w:w="550" w:type="dxa"/>
            <w:gridSpan w:val="3"/>
            <w:vMerge w:val="restart"/>
            <w:tcBorders>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其他资产</w:t>
            </w:r>
          </w:p>
        </w:tc>
        <w:tc>
          <w:tcPr>
            <w:tcW w:w="540" w:type="dxa"/>
            <w:gridSpan w:val="3"/>
            <w:tcBorders>
              <w:left w:val="single" w:sz="4" w:space="0" w:color="000000"/>
            </w:tcBorders>
            <w:tcMar>
              <w:top w:w="0" w:type="dxa"/>
              <w:left w:w="0" w:type="dxa"/>
              <w:bottom w:w="0" w:type="dxa"/>
              <w:right w:w="0" w:type="dxa"/>
            </w:tcMar>
          </w:tcPr>
          <w:p>
            <w:pPr>
              <w:pStyle w:val="Normal"/>
              <w:snapToGrid w:val="false"/>
              <w:rPr>
                <w:rFonts w:ascii="宋体;SimSun" w:hAnsi="宋体;SimSun" w:cs="宋体;SimSun"/>
                <w:color w:val="000000"/>
                <w:kern w:val="0"/>
                <w:sz w:val="24"/>
              </w:rPr>
            </w:pPr>
            <w:r>
              <w:rPr>
                <w:rFonts w:cs="宋体;SimSun" w:ascii="宋体;SimSun" w:hAnsi="宋体;SimSun"/>
                <w:color w:val="000000"/>
                <w:kern w:val="0"/>
                <w:sz w:val="24"/>
              </w:rPr>
            </w:r>
          </w:p>
        </w:tc>
      </w:tr>
      <w:tr>
        <w:trPr>
          <w:trHeight w:val="345" w:hRule="atLeast"/>
        </w:trPr>
        <w:tc>
          <w:tcPr>
            <w:tcW w:w="720" w:type="dxa"/>
            <w:vMerge w:val="continue"/>
            <w:tcBorders>
              <w:top w:val="single" w:sz="4" w:space="0" w:color="000000"/>
              <w:left w:val="single" w:sz="4" w:space="0" w:color="000000"/>
              <w:bottom w:val="single" w:sz="4" w:space="0" w:color="000000"/>
            </w:tcBorders>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54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vMerge w:val="restart"/>
            <w:tcBorders>
              <w:top w:val="single" w:sz="4" w:space="0" w:color="000000"/>
              <w:left w:val="single" w:sz="4" w:space="0" w:color="000000"/>
              <w:bottom w:val="single" w:sz="4" w:space="0" w:color="000000"/>
            </w:tcBorders>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小计</w:t>
            </w:r>
          </w:p>
        </w:tc>
        <w:tc>
          <w:tcPr>
            <w:tcW w:w="1080" w:type="dxa"/>
            <w:gridSpan w:val="2"/>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房屋构筑物</w:t>
            </w:r>
          </w:p>
        </w:tc>
        <w:tc>
          <w:tcPr>
            <w:tcW w:w="72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车辆</w:t>
            </w:r>
          </w:p>
        </w:tc>
        <w:tc>
          <w:tcPr>
            <w:tcW w:w="1080" w:type="dxa"/>
            <w:gridSpan w:val="2"/>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单价</w:t>
            </w:r>
            <w:r>
              <w:rPr>
                <w:rFonts w:cs="宋体;SimSun" w:ascii="宋体;SimSun" w:hAnsi="宋体;SimSun"/>
                <w:color w:val="000000"/>
                <w:kern w:val="0"/>
                <w:sz w:val="20"/>
                <w:szCs w:val="20"/>
                <w:lang w:bidi="ar"/>
              </w:rPr>
              <w:t>200</w:t>
            </w:r>
            <w:r>
              <w:rPr>
                <w:rFonts w:ascii="宋体;SimSun" w:hAnsi="宋体;SimSun" w:cs="宋体;SimSun"/>
                <w:color w:val="000000"/>
                <w:kern w:val="0"/>
                <w:sz w:val="20"/>
                <w:szCs w:val="20"/>
                <w:lang w:bidi="ar"/>
              </w:rPr>
              <w:t>万以上大型设备</w:t>
            </w:r>
          </w:p>
        </w:tc>
        <w:tc>
          <w:tcPr>
            <w:tcW w:w="720" w:type="dxa"/>
            <w:gridSpan w:val="3"/>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其他固定资产</w:t>
            </w:r>
          </w:p>
        </w:tc>
        <w:tc>
          <w:tcPr>
            <w:tcW w:w="72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gridSpan w:val="2"/>
            <w:vMerge w:val="continue"/>
            <w:tcBorders>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550" w:type="dxa"/>
            <w:gridSpan w:val="3"/>
            <w:vMerge w:val="continue"/>
            <w:tcBorders>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540" w:type="dxa"/>
            <w:gridSpan w:val="3"/>
            <w:tcBorders>
              <w:left w:val="single" w:sz="4" w:space="0" w:color="000000"/>
            </w:tcBorders>
            <w:tcMar>
              <w:top w:w="0" w:type="dxa"/>
              <w:left w:w="0" w:type="dxa"/>
              <w:bottom w:w="0" w:type="dxa"/>
              <w:right w:w="0" w:type="dxa"/>
            </w:tcMar>
          </w:tcPr>
          <w:p>
            <w:pPr>
              <w:pStyle w:val="Normal"/>
              <w:snapToGrid w:val="false"/>
              <w:rPr>
                <w:rFonts w:ascii="宋体;SimSun" w:hAnsi="宋体;SimSun" w:cs="宋体;SimSun"/>
                <w:color w:val="000000"/>
                <w:kern w:val="0"/>
                <w:sz w:val="24"/>
              </w:rPr>
            </w:pPr>
            <w:r>
              <w:rPr>
                <w:rFonts w:cs="宋体;SimSun" w:ascii="宋体;SimSun" w:hAnsi="宋体;SimSun"/>
                <w:color w:val="000000"/>
                <w:kern w:val="0"/>
                <w:sz w:val="24"/>
              </w:rPr>
            </w:r>
          </w:p>
        </w:tc>
      </w:tr>
      <w:tr>
        <w:trPr>
          <w:trHeight w:val="395" w:hRule="atLeast"/>
        </w:trPr>
        <w:tc>
          <w:tcPr>
            <w:tcW w:w="720" w:type="dxa"/>
            <w:vMerge w:val="continue"/>
            <w:tcBorders>
              <w:top w:val="single" w:sz="4" w:space="0" w:color="000000"/>
              <w:left w:val="single" w:sz="4" w:space="0" w:color="000000"/>
              <w:bottom w:val="single" w:sz="4" w:space="0" w:color="000000"/>
            </w:tcBorders>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54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vMerge w:val="continue"/>
            <w:tcBorders>
              <w:top w:val="single" w:sz="4" w:space="0" w:color="000000"/>
              <w:left w:val="single" w:sz="4" w:space="0" w:color="000000"/>
              <w:bottom w:val="single" w:sz="4" w:space="0" w:color="000000"/>
            </w:tcBorders>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1080" w:type="dxa"/>
            <w:gridSpan w:val="2"/>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1080" w:type="dxa"/>
            <w:gridSpan w:val="2"/>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gridSpan w:val="3"/>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vMerge w:val="continue"/>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720" w:type="dxa"/>
            <w:gridSpan w:val="2"/>
            <w:vMerge w:val="continue"/>
            <w:tcBorders>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550" w:type="dxa"/>
            <w:gridSpan w:val="3"/>
            <w:vMerge w:val="continue"/>
            <w:tcBorders>
              <w:left w:val="single" w:sz="4" w:space="0" w:color="000000"/>
              <w:bottom w:val="single" w:sz="4" w:space="0" w:color="000000"/>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24"/>
              </w:rPr>
            </w:pPr>
            <w:r>
              <w:rPr>
                <w:rFonts w:cs="宋体;SimSun" w:ascii="宋体;SimSun" w:hAnsi="宋体;SimSun"/>
                <w:color w:val="000000"/>
                <w:kern w:val="0"/>
                <w:sz w:val="24"/>
              </w:rPr>
            </w:r>
          </w:p>
        </w:tc>
        <w:tc>
          <w:tcPr>
            <w:tcW w:w="540" w:type="dxa"/>
            <w:gridSpan w:val="3"/>
            <w:tcBorders>
              <w:left w:val="single" w:sz="4" w:space="0" w:color="000000"/>
            </w:tcBorders>
            <w:tcMar>
              <w:top w:w="0" w:type="dxa"/>
              <w:left w:w="0" w:type="dxa"/>
              <w:bottom w:w="0" w:type="dxa"/>
              <w:right w:w="0" w:type="dxa"/>
            </w:tcMar>
          </w:tcPr>
          <w:p>
            <w:pPr>
              <w:pStyle w:val="Normal"/>
              <w:snapToGrid w:val="false"/>
              <w:rPr>
                <w:rFonts w:ascii="宋体;SimSun" w:hAnsi="宋体;SimSun" w:cs="宋体;SimSun"/>
                <w:color w:val="000000"/>
                <w:kern w:val="0"/>
                <w:sz w:val="24"/>
              </w:rPr>
            </w:pPr>
            <w:r>
              <w:rPr>
                <w:rFonts w:cs="宋体;SimSun" w:ascii="宋体;SimSun" w:hAnsi="宋体;SimSun"/>
                <w:color w:val="000000"/>
                <w:kern w:val="0"/>
                <w:sz w:val="24"/>
              </w:rPr>
            </w:r>
          </w:p>
        </w:tc>
      </w:tr>
      <w:tr>
        <w:trPr>
          <w:trHeight w:val="358" w:hRule="atLeast"/>
        </w:trPr>
        <w:tc>
          <w:tcPr>
            <w:tcW w:w="720" w:type="dxa"/>
            <w:tcBorders>
              <w:top w:val="single" w:sz="4" w:space="0" w:color="000000"/>
              <w:left w:val="single" w:sz="4" w:space="0" w:color="000000"/>
              <w:bottom w:val="single" w:sz="4" w:space="0" w:color="000000"/>
            </w:tcBorders>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栏次</w:t>
            </w:r>
          </w:p>
        </w:tc>
        <w:tc>
          <w:tcPr>
            <w:tcW w:w="5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left"/>
              <w:rPr>
                <w:rFonts w:ascii="宋体;SimSun" w:hAnsi="宋体;SimSun" w:cs="宋体;SimSun"/>
                <w:color w:val="000000"/>
                <w:kern w:val="0"/>
                <w:sz w:val="24"/>
              </w:rPr>
            </w:pPr>
            <w:r>
              <w:rPr>
                <w:rFonts w:cs="宋体;SimSun" w:ascii="宋体;SimSun" w:hAnsi="宋体;SimSun"/>
                <w:color w:val="000000"/>
                <w:kern w:val="0"/>
                <w:sz w:val="20"/>
                <w:szCs w:val="20"/>
              </w:rPr>
              <w:t> </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1</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2</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3</w:t>
            </w:r>
          </w:p>
        </w:tc>
        <w:tc>
          <w:tcPr>
            <w:tcW w:w="108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4</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5</w:t>
            </w:r>
          </w:p>
        </w:tc>
        <w:tc>
          <w:tcPr>
            <w:tcW w:w="108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6</w:t>
            </w:r>
          </w:p>
        </w:tc>
        <w:tc>
          <w:tcPr>
            <w:tcW w:w="72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7</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8</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9</w:t>
            </w:r>
          </w:p>
        </w:tc>
        <w:tc>
          <w:tcPr>
            <w:tcW w:w="72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10</w:t>
            </w:r>
          </w:p>
        </w:tc>
        <w:tc>
          <w:tcPr>
            <w:tcW w:w="55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11</w:t>
            </w:r>
          </w:p>
        </w:tc>
        <w:tc>
          <w:tcPr>
            <w:tcW w:w="540" w:type="dxa"/>
            <w:gridSpan w:val="3"/>
            <w:tcBorders>
              <w:left w:val="single" w:sz="4" w:space="0" w:color="000000"/>
            </w:tcBorders>
            <w:tcMar>
              <w:top w:w="0" w:type="dxa"/>
              <w:left w:w="0" w:type="dxa"/>
              <w:bottom w:w="0" w:type="dxa"/>
              <w:right w:w="0" w:type="dxa"/>
            </w:tcMar>
          </w:tcPr>
          <w:p>
            <w:pPr>
              <w:pStyle w:val="Normal"/>
              <w:snapToGrid w:val="false"/>
              <w:rPr>
                <w:rFonts w:ascii="宋体;SimSun" w:hAnsi="宋体;SimSun" w:cs="宋体;SimSun"/>
                <w:color w:val="000000"/>
                <w:kern w:val="0"/>
                <w:sz w:val="24"/>
              </w:rPr>
            </w:pPr>
            <w:r>
              <w:rPr>
                <w:rFonts w:cs="宋体;SimSun" w:ascii="宋体;SimSun" w:hAnsi="宋体;SimSun"/>
                <w:color w:val="000000"/>
                <w:kern w:val="0"/>
                <w:sz w:val="24"/>
              </w:rPr>
            </w:r>
          </w:p>
        </w:tc>
      </w:tr>
      <w:tr>
        <w:trPr>
          <w:trHeight w:val="563" w:hRule="atLeast"/>
        </w:trPr>
        <w:tc>
          <w:tcPr>
            <w:tcW w:w="720" w:type="dxa"/>
            <w:tcBorders>
              <w:top w:val="single" w:sz="4" w:space="0" w:color="000000"/>
              <w:left w:val="single" w:sz="4" w:space="0" w:color="000000"/>
              <w:bottom w:val="single" w:sz="4" w:space="0" w:color="000000"/>
            </w:tcBorders>
            <w:vAlign w:val="center"/>
          </w:tcPr>
          <w:p>
            <w:pPr>
              <w:pStyle w:val="Normal"/>
              <w:jc w:val="center"/>
              <w:textAlignment w:val="center"/>
              <w:rPr>
                <w:rFonts w:ascii="宋体;SimSun" w:hAnsi="宋体;SimSun" w:cs="宋体;SimSun"/>
                <w:color w:val="000000"/>
                <w:kern w:val="0"/>
                <w:sz w:val="24"/>
              </w:rPr>
            </w:pPr>
            <w:r>
              <w:rPr>
                <w:rFonts w:ascii="宋体;SimSun" w:hAnsi="宋体;SimSun" w:cs="宋体;SimSun"/>
                <w:color w:val="000000"/>
                <w:kern w:val="0"/>
                <w:sz w:val="20"/>
                <w:szCs w:val="20"/>
                <w:lang w:bidi="ar"/>
              </w:rPr>
              <w:t>合计</w:t>
            </w:r>
          </w:p>
        </w:tc>
        <w:tc>
          <w:tcPr>
            <w:tcW w:w="5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center"/>
              <w:textAlignment w:val="center"/>
              <w:rPr>
                <w:rFonts w:ascii="宋体;SimSun" w:hAnsi="宋体;SimSun" w:cs="宋体;SimSun"/>
                <w:color w:val="000000"/>
                <w:kern w:val="0"/>
                <w:sz w:val="24"/>
              </w:rPr>
            </w:pPr>
            <w:r>
              <w:rPr>
                <w:rFonts w:cs="宋体;SimSun" w:ascii="宋体;SimSun" w:hAnsi="宋体;SimSun"/>
                <w:color w:val="000000"/>
                <w:kern w:val="0"/>
                <w:sz w:val="20"/>
                <w:szCs w:val="20"/>
                <w:lang w:bidi="ar"/>
              </w:rPr>
              <w:t>1</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8148.32 </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2954.80 </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4771.71 </w:t>
            </w:r>
          </w:p>
        </w:tc>
        <w:tc>
          <w:tcPr>
            <w:tcW w:w="108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2402.52 </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300.76 </w:t>
            </w:r>
          </w:p>
        </w:tc>
        <w:tc>
          <w:tcPr>
            <w:tcW w:w="108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 </w:t>
            </w:r>
          </w:p>
        </w:tc>
        <w:tc>
          <w:tcPr>
            <w:tcW w:w="72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2068.43 </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 </w:t>
            </w:r>
          </w:p>
        </w:tc>
        <w:tc>
          <w:tcPr>
            <w:tcW w:w="72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421.81 </w:t>
            </w:r>
          </w:p>
        </w:tc>
        <w:tc>
          <w:tcPr>
            <w:tcW w:w="720" w:type="dxa"/>
            <w:gridSpan w:val="2"/>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 </w:t>
            </w:r>
          </w:p>
        </w:tc>
        <w:tc>
          <w:tcPr>
            <w:tcW w:w="550" w:type="dxa"/>
            <w:gridSpan w:val="3"/>
            <w:tcBorders>
              <w:top w:val="single" w:sz="4" w:space="0" w:color="000000"/>
              <w:left w:val="single" w:sz="4" w:space="0" w:color="000000"/>
              <w:bottom w:val="single" w:sz="4" w:space="0" w:color="000000"/>
            </w:tcBorders>
            <w:tcMar>
              <w:top w:w="0" w:type="dxa"/>
              <w:left w:w="0" w:type="dxa"/>
              <w:bottom w:w="0" w:type="dxa"/>
              <w:right w:w="0" w:type="dxa"/>
            </w:tcMar>
            <w:vAlign w:val="center"/>
          </w:tcPr>
          <w:p>
            <w:pPr>
              <w:pStyle w:val="Normal"/>
              <w:jc w:val="right"/>
              <w:rPr>
                <w:rFonts w:ascii="宋体;SimSun" w:hAnsi="宋体;SimSun" w:cs="宋体;SimSun"/>
                <w:color w:val="000000"/>
                <w:kern w:val="0"/>
                <w:sz w:val="18"/>
                <w:szCs w:val="18"/>
              </w:rPr>
            </w:pPr>
            <w:r>
              <w:rPr>
                <w:rFonts w:cs="宋体;SimSun" w:ascii="宋体;SimSun" w:hAnsi="宋体;SimSun"/>
                <w:color w:val="000000"/>
                <w:kern w:val="0"/>
                <w:sz w:val="18"/>
                <w:szCs w:val="18"/>
              </w:rPr>
              <w:t> </w:t>
            </w:r>
          </w:p>
        </w:tc>
        <w:tc>
          <w:tcPr>
            <w:tcW w:w="540" w:type="dxa"/>
            <w:gridSpan w:val="3"/>
            <w:tcBorders>
              <w:left w:val="single" w:sz="4" w:space="0" w:color="000000"/>
            </w:tcBorders>
            <w:tcMar>
              <w:top w:w="0" w:type="dxa"/>
              <w:left w:w="0" w:type="dxa"/>
              <w:bottom w:w="0" w:type="dxa"/>
              <w:right w:w="0" w:type="dxa"/>
            </w:tcMar>
          </w:tcPr>
          <w:p>
            <w:pPr>
              <w:pStyle w:val="Normal"/>
              <w:snapToGrid w:val="false"/>
              <w:rPr>
                <w:rFonts w:ascii="宋体;SimSun" w:hAnsi="宋体;SimSun" w:cs="宋体;SimSun"/>
                <w:color w:val="000000"/>
                <w:kern w:val="0"/>
                <w:sz w:val="18"/>
                <w:szCs w:val="18"/>
              </w:rPr>
            </w:pPr>
            <w:r>
              <w:rPr>
                <w:rFonts w:cs="宋体;SimSun" w:ascii="宋体;SimSun" w:hAnsi="宋体;SimSun"/>
                <w:color w:val="000000"/>
                <w:kern w:val="0"/>
                <w:sz w:val="18"/>
                <w:szCs w:val="18"/>
              </w:rPr>
            </w:r>
          </w:p>
        </w:tc>
      </w:tr>
      <w:tr>
        <w:trPr>
          <w:trHeight w:val="259" w:hRule="atLeast"/>
        </w:trPr>
        <w:tc>
          <w:tcPr>
            <w:tcW w:w="8460" w:type="dxa"/>
            <w:gridSpan w:val="15"/>
            <w:tcBorders/>
            <w:vAlign w:val="bottom"/>
          </w:tcPr>
          <w:p>
            <w:pPr>
              <w:pStyle w:val="Normal"/>
              <w:snapToGrid w:val="false"/>
              <w:rPr>
                <w:rFonts w:ascii="宋体;SimSun" w:hAnsi="宋体;SimSun" w:cs="宋体;SimSun"/>
                <w:color w:val="000000"/>
                <w:kern w:val="0"/>
                <w:sz w:val="24"/>
                <w:szCs w:val="18"/>
              </w:rPr>
            </w:pPr>
            <w:r>
              <w:rPr>
                <w:rFonts w:cs="宋体;SimSun" w:ascii="宋体;SimSun" w:hAnsi="宋体;SimSun"/>
                <w:color w:val="000000"/>
                <w:kern w:val="0"/>
                <w:sz w:val="24"/>
                <w:szCs w:val="18"/>
              </w:rPr>
            </w:r>
          </w:p>
        </w:tc>
        <w:tc>
          <w:tcPr>
            <w:tcW w:w="377" w:type="dxa"/>
            <w:tcBorders/>
            <w:tcMar>
              <w:top w:w="0" w:type="dxa"/>
              <w:left w:w="0" w:type="dxa"/>
              <w:bottom w:w="0" w:type="dxa"/>
              <w:right w:w="0" w:type="dxa"/>
            </w:tcMar>
            <w:vAlign w:val="bottom"/>
          </w:tcPr>
          <w:p>
            <w:pPr>
              <w:pStyle w:val="Normal"/>
              <w:snapToGrid w:val="false"/>
              <w:rPr>
                <w:rFonts w:ascii="宋体;SimSun" w:hAnsi="宋体;SimSun" w:cs="宋体;SimSun"/>
                <w:color w:val="000000"/>
                <w:kern w:val="0"/>
                <w:sz w:val="20"/>
                <w:lang w:bidi="ar"/>
              </w:rPr>
            </w:pPr>
            <w:r>
              <w:rPr>
                <w:rFonts w:cs="宋体;SimSun" w:ascii="宋体;SimSun" w:hAnsi="宋体;SimSun"/>
                <w:color w:val="000000"/>
                <w:kern w:val="0"/>
                <w:sz w:val="20"/>
                <w:lang w:bidi="ar"/>
              </w:rPr>
            </w:r>
          </w:p>
        </w:tc>
        <w:tc>
          <w:tcPr>
            <w:tcW w:w="978" w:type="dxa"/>
            <w:gridSpan w:val="5"/>
            <w:tcBorders/>
            <w:tcMar>
              <w:top w:w="0" w:type="dxa"/>
              <w:left w:w="0" w:type="dxa"/>
              <w:bottom w:w="0" w:type="dxa"/>
              <w:right w:w="0" w:type="dxa"/>
            </w:tcMar>
            <w:vAlign w:val="bottom"/>
          </w:tcPr>
          <w:p>
            <w:pPr>
              <w:pStyle w:val="Normal"/>
              <w:snapToGrid w:val="false"/>
              <w:jc w:val="left"/>
              <w:rPr>
                <w:rFonts w:ascii="宋体;SimSun" w:hAnsi="宋体;SimSun" w:cs="宋体;SimSun"/>
                <w:color w:val="000000"/>
                <w:kern w:val="0"/>
                <w:sz w:val="24"/>
                <w:lang w:bidi="ar"/>
              </w:rPr>
            </w:pPr>
            <w:r>
              <w:rPr>
                <w:rFonts w:cs="宋体;SimSun" w:ascii="宋体;SimSun" w:hAnsi="宋体;SimSun"/>
                <w:color w:val="000000"/>
                <w:kern w:val="0"/>
                <w:sz w:val="24"/>
                <w:lang w:bidi="ar"/>
              </w:rPr>
            </w:r>
          </w:p>
        </w:tc>
        <w:tc>
          <w:tcPr>
            <w:tcW w:w="142" w:type="dxa"/>
            <w:tcBorders/>
            <w:tcMar>
              <w:top w:w="0" w:type="dxa"/>
              <w:left w:w="0" w:type="dxa"/>
              <w:bottom w:w="0" w:type="dxa"/>
              <w:right w:w="0" w:type="dxa"/>
            </w:tcMar>
            <w:vAlign w:val="center"/>
          </w:tcPr>
          <w:p>
            <w:pPr>
              <w:pStyle w:val="Normal"/>
              <w:snapToGrid w:val="false"/>
              <w:jc w:val="left"/>
              <w:rPr>
                <w:rFonts w:ascii="宋体;SimSun" w:hAnsi="宋体;SimSun" w:cs="宋体;SimSun"/>
                <w:color w:val="000000"/>
                <w:kern w:val="0"/>
                <w:sz w:val="17"/>
                <w:szCs w:val="17"/>
              </w:rPr>
            </w:pPr>
            <w:r>
              <w:rPr>
                <w:rFonts w:cs="宋体;SimSun" w:ascii="宋体;SimSun" w:hAnsi="宋体;SimSun"/>
                <w:color w:val="000000"/>
                <w:kern w:val="0"/>
                <w:sz w:val="17"/>
                <w:szCs w:val="17"/>
              </w:rPr>
            </w:r>
          </w:p>
        </w:tc>
        <w:tc>
          <w:tcPr>
            <w:tcW w:w="313" w:type="dxa"/>
            <w:tcBorders/>
            <w:tcMar>
              <w:top w:w="0" w:type="dxa"/>
              <w:left w:w="0" w:type="dxa"/>
              <w:bottom w:w="0" w:type="dxa"/>
              <w:right w:w="0" w:type="dxa"/>
            </w:tcMar>
          </w:tcPr>
          <w:p>
            <w:pPr>
              <w:pStyle w:val="Normal"/>
              <w:snapToGrid w:val="false"/>
              <w:rPr>
                <w:rFonts w:ascii="宋体;SimSun" w:hAnsi="宋体;SimSun" w:cs="宋体;SimSun"/>
                <w:color w:val="000000"/>
                <w:kern w:val="0"/>
                <w:sz w:val="17"/>
                <w:szCs w:val="17"/>
              </w:rPr>
            </w:pPr>
            <w:r>
              <w:rPr>
                <w:rFonts w:cs="宋体;SimSun" w:ascii="宋体;SimSun" w:hAnsi="宋体;SimSun"/>
                <w:color w:val="000000"/>
                <w:kern w:val="0"/>
                <w:sz w:val="17"/>
                <w:szCs w:val="17"/>
              </w:rPr>
            </w:r>
          </w:p>
        </w:tc>
      </w:tr>
      <w:tr>
        <w:trPr>
          <w:trHeight w:val="495" w:hRule="atLeast"/>
        </w:trPr>
        <w:tc>
          <w:tcPr>
            <w:tcW w:w="9455" w:type="dxa"/>
            <w:gridSpan w:val="18"/>
            <w:tcBorders/>
            <w:vAlign w:val="bottom"/>
          </w:tcPr>
          <w:p>
            <w:pPr>
              <w:pStyle w:val="Normal"/>
              <w:rPr>
                <w:rFonts w:ascii="宋体;SimSun" w:hAnsi="宋体;SimSun" w:cs="宋体;SimSun"/>
                <w:color w:val="000000"/>
                <w:kern w:val="0"/>
                <w:sz w:val="20"/>
                <w:szCs w:val="20"/>
              </w:rPr>
            </w:pPr>
            <w:r>
              <w:rPr>
                <w:rFonts w:ascii="宋体;SimSun" w:hAnsi="宋体;SimSun" w:cs="宋体;SimSun"/>
                <w:color w:val="000000"/>
                <w:kern w:val="0"/>
                <w:sz w:val="20"/>
                <w:szCs w:val="20"/>
              </w:rPr>
              <w:t>填报说明：</w:t>
            </w:r>
            <w:r>
              <w:rPr>
                <w:rFonts w:cs="宋体;SimSun" w:ascii="宋体;SimSun" w:hAnsi="宋体;SimSun"/>
                <w:color w:val="000000"/>
                <w:kern w:val="0"/>
                <w:sz w:val="20"/>
                <w:szCs w:val="20"/>
              </w:rPr>
              <w:t>1.</w:t>
            </w:r>
            <w:r>
              <w:rPr>
                <w:rFonts w:ascii="宋体;SimSun" w:hAnsi="宋体;SimSun" w:cs="宋体;SimSun"/>
                <w:color w:val="000000"/>
                <w:kern w:val="0"/>
                <w:sz w:val="20"/>
                <w:szCs w:val="20"/>
              </w:rPr>
              <w:t>资产总额＝流动资产＋固定资产＋对外投资／有价证券＋在建工程＋无形资产＋其他资产</w:t>
            </w:r>
          </w:p>
          <w:p>
            <w:pPr>
              <w:pStyle w:val="Normal"/>
              <w:ind w:firstLine="1030"/>
              <w:jc w:val="left"/>
              <w:rPr>
                <w:rFonts w:ascii="宋体;SimSun" w:hAnsi="宋体;SimSun" w:cs="宋体;SimSun"/>
                <w:color w:val="000000"/>
                <w:kern w:val="0"/>
                <w:sz w:val="24"/>
              </w:rPr>
            </w:pPr>
            <w:r>
              <w:rPr>
                <w:rFonts w:cs="宋体;SimSun" w:ascii="宋体;SimSun" w:hAnsi="宋体;SimSun"/>
                <w:color w:val="000000"/>
                <w:kern w:val="0"/>
                <w:sz w:val="20"/>
                <w:szCs w:val="20"/>
              </w:rPr>
              <w:t>2.</w:t>
            </w:r>
            <w:r>
              <w:rPr>
                <w:rFonts w:ascii="宋体;SimSun" w:hAnsi="宋体;SimSun" w:cs="宋体;SimSun"/>
                <w:color w:val="000000"/>
                <w:kern w:val="0"/>
                <w:sz w:val="20"/>
                <w:szCs w:val="20"/>
              </w:rPr>
              <w:t>固定资产＝房屋构筑物＋车辆＋单价</w:t>
            </w:r>
            <w:r>
              <w:rPr>
                <w:rFonts w:cs="宋体;SimSun" w:ascii="宋体;SimSun" w:hAnsi="宋体;SimSun"/>
                <w:color w:val="000000"/>
                <w:kern w:val="0"/>
                <w:sz w:val="20"/>
                <w:szCs w:val="20"/>
              </w:rPr>
              <w:t>200</w:t>
            </w:r>
            <w:r>
              <w:rPr>
                <w:rFonts w:ascii="宋体;SimSun" w:hAnsi="宋体;SimSun" w:cs="宋体;SimSun"/>
                <w:color w:val="000000"/>
                <w:kern w:val="0"/>
                <w:sz w:val="20"/>
                <w:szCs w:val="20"/>
              </w:rPr>
              <w:t>万元以上大型设备＋其他固定资产</w:t>
            </w:r>
          </w:p>
        </w:tc>
        <w:tc>
          <w:tcPr>
            <w:tcW w:w="805" w:type="dxa"/>
            <w:gridSpan w:val="5"/>
            <w:tcBorders/>
            <w:tcMar>
              <w:top w:w="0" w:type="dxa"/>
              <w:left w:w="0" w:type="dxa"/>
              <w:bottom w:w="0" w:type="dxa"/>
              <w:right w:w="0" w:type="dxa"/>
            </w:tcMar>
            <w:vAlign w:val="bottom"/>
          </w:tcPr>
          <w:p>
            <w:pPr>
              <w:pStyle w:val="Normal"/>
              <w:jc w:val="left"/>
              <w:rPr>
                <w:rFonts w:ascii="宋体;SimSun" w:hAnsi="宋体;SimSun" w:cs="宋体;SimSun"/>
                <w:color w:val="000000"/>
                <w:kern w:val="0"/>
                <w:sz w:val="24"/>
              </w:rPr>
            </w:pPr>
            <w:r>
              <w:rPr>
                <w:rFonts w:cs="Arial" w:ascii="Arial" w:hAnsi="Arial"/>
                <w:color w:val="000000"/>
                <w:kern w:val="0"/>
                <w:sz w:val="20"/>
                <w:szCs w:val="20"/>
              </w:rPr>
              <w:t> </w:t>
            </w:r>
          </w:p>
        </w:tc>
      </w:tr>
    </w:tbl>
    <w:p>
      <w:pPr>
        <w:pStyle w:val="Normal"/>
        <w:spacing w:lineRule="exact" w:line="560"/>
        <w:ind w:firstLine="600"/>
        <w:jc w:val="left"/>
        <w:rPr>
          <w:rFonts w:ascii="楷体_GB2312;Arial Unicode MS" w:hAnsi="楷体_GB2312;Arial Unicode MS" w:eastAsia="楷体_GB2312;Arial Unicode MS" w:cs="方正小标宋简体;Arial Unicode MS"/>
          <w:sz w:val="30"/>
          <w:szCs w:val="30"/>
        </w:rPr>
      </w:pPr>
      <w:r>
        <w:rPr>
          <w:rFonts w:eastAsia="楷体_GB2312;Arial Unicode MS" w:cs="方正小标宋简体;Arial Unicode MS" w:ascii="楷体_GB2312;Arial Unicode MS" w:hAnsi="楷体_GB2312;Arial Unicode MS"/>
          <w:sz w:val="30"/>
          <w:szCs w:val="30"/>
        </w:rPr>
        <w:t>(</w:t>
      </w:r>
      <w:r>
        <w:rPr>
          <w:rFonts w:ascii="楷体_GB2312;Arial Unicode MS" w:hAnsi="楷体_GB2312;Arial Unicode MS" w:cs="方正小标宋简体;Arial Unicode MS" w:eastAsia="楷体_GB2312;Arial Unicode MS"/>
          <w:sz w:val="30"/>
          <w:szCs w:val="30"/>
        </w:rPr>
        <w:t>三</w:t>
      </w:r>
      <w:r>
        <w:rPr>
          <w:rFonts w:eastAsia="楷体_GB2312;Arial Unicode MS" w:cs="方正小标宋简体;Arial Unicode MS" w:ascii="楷体_GB2312;Arial Unicode MS" w:hAnsi="楷体_GB2312;Arial Unicode MS"/>
          <w:sz w:val="30"/>
          <w:szCs w:val="30"/>
        </w:rPr>
        <w:t>)</w:t>
      </w:r>
      <w:r>
        <w:rPr>
          <w:rFonts w:ascii="楷体_GB2312;Arial Unicode MS" w:hAnsi="楷体_GB2312;Arial Unicode MS" w:cs="方正小标宋简体;Arial Unicode MS" w:eastAsia="楷体_GB2312;Arial Unicode MS"/>
          <w:sz w:val="30"/>
          <w:szCs w:val="30"/>
        </w:rPr>
        <w:t>政府采购支出情况</w:t>
      </w:r>
    </w:p>
    <w:p>
      <w:pPr>
        <w:pStyle w:val="Normal"/>
        <w:spacing w:lineRule="exact" w:line="560"/>
        <w:ind w:firstLine="600"/>
        <w:rPr>
          <w:rFonts w:ascii="仿宋_GB2312;仿宋" w:hAnsi="仿宋_GB2312;仿宋" w:eastAsia="仿宋_GB2312;仿宋" w:cs="仿宋_GB2312;仿宋"/>
          <w:sz w:val="30"/>
          <w:szCs w:val="30"/>
        </w:rPr>
      </w:pPr>
      <w:r>
        <w:rPr>
          <w:rFonts w:eastAsia="仿宋_GB2312;仿宋" w:cs="仿宋_GB2312;仿宋" w:ascii="仿宋_GB2312;仿宋" w:hAnsi="仿宋_GB2312;仿宋"/>
          <w:sz w:val="30"/>
          <w:szCs w:val="30"/>
        </w:rPr>
        <w:t>2017</w:t>
      </w:r>
      <w:r>
        <w:rPr>
          <w:rFonts w:ascii="仿宋_GB2312;仿宋" w:hAnsi="仿宋_GB2312;仿宋" w:cs="仿宋_GB2312;仿宋" w:eastAsia="仿宋_GB2312;仿宋"/>
          <w:sz w:val="30"/>
          <w:szCs w:val="30"/>
        </w:rPr>
        <w:t>年度，部门政府采购支出总额</w:t>
      </w:r>
      <w:r>
        <w:rPr>
          <w:rFonts w:eastAsia="仿宋_GB2312;仿宋" w:cs="仿宋_GB2312;仿宋" w:ascii="仿宋_GB2312;仿宋" w:hAnsi="仿宋_GB2312;仿宋"/>
          <w:sz w:val="30"/>
          <w:szCs w:val="30"/>
        </w:rPr>
        <w:t>514.51</w:t>
      </w:r>
      <w:r>
        <w:rPr>
          <w:rFonts w:ascii="仿宋_GB2312;仿宋" w:hAnsi="仿宋_GB2312;仿宋" w:cs="仿宋_GB2312;仿宋" w:eastAsia="仿宋_GB2312;仿宋"/>
          <w:sz w:val="30"/>
          <w:szCs w:val="30"/>
        </w:rPr>
        <w:t>万元，其中：政府采购货物支出</w:t>
      </w:r>
      <w:r>
        <w:rPr>
          <w:rFonts w:eastAsia="仿宋_GB2312;仿宋" w:cs="仿宋_GB2312;仿宋" w:ascii="仿宋_GB2312;仿宋" w:hAnsi="仿宋_GB2312;仿宋"/>
          <w:sz w:val="30"/>
          <w:szCs w:val="30"/>
        </w:rPr>
        <w:t>47.21</w:t>
      </w:r>
      <w:r>
        <w:rPr>
          <w:rFonts w:ascii="仿宋_GB2312;仿宋" w:hAnsi="仿宋_GB2312;仿宋" w:cs="仿宋_GB2312;仿宋" w:eastAsia="仿宋_GB2312;仿宋"/>
          <w:sz w:val="30"/>
          <w:szCs w:val="30"/>
        </w:rPr>
        <w:t>万元；政府采购工程支出</w:t>
      </w:r>
      <w:r>
        <w:rPr>
          <w:rFonts w:eastAsia="仿宋_GB2312;仿宋" w:cs="仿宋_GB2312;仿宋" w:ascii="仿宋_GB2312;仿宋" w:hAnsi="仿宋_GB2312;仿宋"/>
          <w:sz w:val="30"/>
          <w:szCs w:val="30"/>
        </w:rPr>
        <w:t>467.30</w:t>
      </w:r>
      <w:r>
        <w:rPr>
          <w:rFonts w:ascii="仿宋_GB2312;仿宋" w:hAnsi="仿宋_GB2312;仿宋" w:cs="仿宋_GB2312;仿宋" w:eastAsia="仿宋_GB2312;仿宋"/>
          <w:sz w:val="30"/>
          <w:szCs w:val="30"/>
        </w:rPr>
        <w:t>万元；政府采购服务支出</w:t>
      </w:r>
      <w:r>
        <w:rPr>
          <w:rFonts w:eastAsia="仿宋_GB2312;仿宋" w:cs="仿宋_GB2312;仿宋" w:ascii="仿宋_GB2312;仿宋" w:hAnsi="仿宋_GB2312;仿宋"/>
          <w:sz w:val="30"/>
          <w:szCs w:val="30"/>
        </w:rPr>
        <w:t>0</w:t>
      </w:r>
      <w:r>
        <w:rPr>
          <w:rFonts w:ascii="仿宋_GB2312;仿宋" w:hAnsi="仿宋_GB2312;仿宋" w:cs="仿宋_GB2312;仿宋" w:eastAsia="仿宋_GB2312;仿宋"/>
          <w:sz w:val="30"/>
          <w:szCs w:val="30"/>
        </w:rPr>
        <w:t>万元。授予中小企业合同金额</w:t>
      </w:r>
      <w:bookmarkStart w:id="0" w:name="_GoBack"/>
      <w:bookmarkEnd w:id="0"/>
      <w:r>
        <w:rPr>
          <w:rFonts w:eastAsia="仿宋_GB2312;仿宋" w:cs="仿宋_GB2312;仿宋" w:ascii="仿宋_GB2312;仿宋" w:hAnsi="仿宋_GB2312;仿宋"/>
          <w:sz w:val="30"/>
          <w:szCs w:val="30"/>
        </w:rPr>
        <w:t>47.21</w:t>
      </w:r>
      <w:r>
        <w:rPr>
          <w:rFonts w:ascii="仿宋_GB2312;仿宋" w:hAnsi="仿宋_GB2312;仿宋" w:cs="仿宋_GB2312;仿宋" w:eastAsia="仿宋_GB2312;仿宋"/>
          <w:sz w:val="30"/>
          <w:szCs w:val="30"/>
        </w:rPr>
        <w:t>万元，占政府采购支出总额的</w:t>
      </w:r>
      <w:r>
        <w:rPr>
          <w:rFonts w:eastAsia="仿宋_GB2312;仿宋" w:cs="仿宋_GB2312;仿宋" w:ascii="仿宋_GB2312;仿宋" w:hAnsi="仿宋_GB2312;仿宋"/>
          <w:sz w:val="30"/>
          <w:szCs w:val="30"/>
        </w:rPr>
        <w:t>9.18%</w:t>
      </w:r>
      <w:r>
        <w:rPr>
          <w:rFonts w:ascii="仿宋_GB2312;仿宋" w:hAnsi="仿宋_GB2312;仿宋" w:cs="仿宋_GB2312;仿宋" w:eastAsia="仿宋_GB2312;仿宋"/>
          <w:sz w:val="30"/>
          <w:szCs w:val="30"/>
        </w:rPr>
        <w:t>。</w:t>
      </w:r>
    </w:p>
    <w:p>
      <w:pPr>
        <w:pStyle w:val="Normal"/>
        <w:spacing w:lineRule="exact" w:line="560"/>
        <w:ind w:firstLine="600"/>
        <w:jc w:val="left"/>
        <w:rPr>
          <w:rFonts w:ascii="楷体_GB2312;Arial Unicode MS" w:hAnsi="楷体_GB2312;Arial Unicode MS" w:eastAsia="楷体_GB2312;Arial Unicode MS" w:cs="方正小标宋简体;Arial Unicode MS"/>
          <w:sz w:val="30"/>
          <w:szCs w:val="30"/>
        </w:rPr>
      </w:pPr>
      <w:r>
        <w:rPr>
          <w:rFonts w:eastAsia="楷体_GB2312;Arial Unicode MS" w:cs="方正小标宋简体;Arial Unicode MS" w:ascii="楷体_GB2312;Arial Unicode MS" w:hAnsi="楷体_GB2312;Arial Unicode MS"/>
          <w:sz w:val="30"/>
          <w:szCs w:val="30"/>
        </w:rPr>
        <w:t>(</w:t>
      </w:r>
      <w:r>
        <w:rPr>
          <w:rFonts w:ascii="楷体_GB2312;Arial Unicode MS" w:hAnsi="楷体_GB2312;Arial Unicode MS" w:cs="方正小标宋简体;Arial Unicode MS" w:eastAsia="楷体_GB2312;Arial Unicode MS"/>
          <w:sz w:val="30"/>
          <w:szCs w:val="30"/>
        </w:rPr>
        <w:t>四</w:t>
      </w:r>
      <w:r>
        <w:rPr>
          <w:rFonts w:eastAsia="楷体_GB2312;Arial Unicode MS" w:cs="方正小标宋简体;Arial Unicode MS" w:ascii="楷体_GB2312;Arial Unicode MS" w:hAnsi="楷体_GB2312;Arial Unicode MS"/>
          <w:sz w:val="30"/>
          <w:szCs w:val="30"/>
        </w:rPr>
        <w:t>)</w:t>
      </w:r>
      <w:r>
        <w:rPr>
          <w:rFonts w:ascii="楷体_GB2312;Arial Unicode MS" w:hAnsi="楷体_GB2312;Arial Unicode MS" w:cs="方正小标宋简体;Arial Unicode MS" w:eastAsia="楷体_GB2312;Arial Unicode MS"/>
          <w:sz w:val="30"/>
          <w:szCs w:val="30"/>
        </w:rPr>
        <w:t>绩效自评信息情况</w:t>
      </w:r>
    </w:p>
    <w:p>
      <w:pPr>
        <w:pStyle w:val="Normal"/>
        <w:spacing w:lineRule="exact" w:line="560"/>
        <w:ind w:firstLine="600"/>
        <w:rPr>
          <w:rFonts w:ascii="仿宋_GB2312;仿宋" w:hAnsi="仿宋_GB2312;仿宋" w:eastAsia="仿宋_GB2312;仿宋"/>
          <w:sz w:val="30"/>
          <w:szCs w:val="30"/>
        </w:rPr>
      </w:pPr>
      <w:r>
        <w:rPr>
          <w:rFonts w:ascii="仿宋_GB2312;仿宋" w:hAnsi="仿宋_GB2312;仿宋" w:eastAsia="仿宋_GB2312;仿宋"/>
          <w:sz w:val="30"/>
          <w:szCs w:val="30"/>
        </w:rPr>
        <w:t>根据财政预算管理要求，市局对</w:t>
      </w:r>
      <w:r>
        <w:rPr>
          <w:rFonts w:eastAsia="仿宋_GB2312;仿宋" w:ascii="仿宋_GB2312;仿宋" w:hAnsi="仿宋_GB2312;仿宋"/>
          <w:sz w:val="30"/>
          <w:szCs w:val="30"/>
        </w:rPr>
        <w:t>2017</w:t>
      </w:r>
      <w:r>
        <w:rPr>
          <w:rFonts w:ascii="仿宋_GB2312;仿宋" w:hAnsi="仿宋_GB2312;仿宋" w:eastAsia="仿宋_GB2312;仿宋"/>
          <w:sz w:val="30"/>
          <w:szCs w:val="30"/>
        </w:rPr>
        <w:t>年度一般公共预算项目支出全面开展绩效自评。其中项目</w:t>
      </w:r>
      <w:r>
        <w:rPr>
          <w:rFonts w:eastAsia="仿宋_GB2312;仿宋" w:ascii="仿宋_GB2312;仿宋" w:hAnsi="仿宋_GB2312;仿宋"/>
          <w:sz w:val="30"/>
          <w:szCs w:val="30"/>
        </w:rPr>
        <w:t>9</w:t>
      </w:r>
      <w:r>
        <w:rPr>
          <w:rFonts w:ascii="仿宋_GB2312;仿宋" w:hAnsi="仿宋_GB2312;仿宋" w:eastAsia="仿宋_GB2312;仿宋"/>
          <w:sz w:val="30"/>
          <w:szCs w:val="30"/>
        </w:rPr>
        <w:t xml:space="preserve">个，涉及一般公共预算当年拨款 </w:t>
      </w:r>
      <w:r>
        <w:rPr>
          <w:rFonts w:eastAsia="仿宋_GB2312;仿宋" w:ascii="仿宋_GB2312;仿宋" w:hAnsi="仿宋_GB2312;仿宋"/>
          <w:sz w:val="30"/>
          <w:szCs w:val="30"/>
        </w:rPr>
        <w:t>981.00</w:t>
      </w:r>
      <w:r>
        <w:rPr>
          <w:rFonts w:ascii="仿宋_GB2312;仿宋" w:hAnsi="仿宋_GB2312;仿宋" w:eastAsia="仿宋_GB2312;仿宋"/>
          <w:sz w:val="30"/>
          <w:szCs w:val="30"/>
        </w:rPr>
        <w:t>万元，自评覆盖率达到</w:t>
      </w:r>
      <w:r>
        <w:rPr>
          <w:rFonts w:eastAsia="仿宋_GB2312;仿宋" w:ascii="仿宋_GB2312;仿宋" w:hAnsi="仿宋_GB2312;仿宋"/>
          <w:sz w:val="30"/>
          <w:szCs w:val="30"/>
        </w:rPr>
        <w:t>100%</w:t>
      </w:r>
      <w:r>
        <w:rPr>
          <w:rFonts w:ascii="仿宋_GB2312;仿宋" w:hAnsi="仿宋_GB2312;仿宋" w:eastAsia="仿宋_GB2312;仿宋"/>
          <w:sz w:val="30"/>
          <w:szCs w:val="30"/>
        </w:rPr>
        <w:t>。重点组织对“创建国家食品安全示范城市食品安全监督抽验经费”开展绩效评价，涉及一般公共预算当年拨款支出</w:t>
      </w:r>
      <w:r>
        <w:rPr>
          <w:rFonts w:eastAsia="仿宋_GB2312;仿宋" w:ascii="仿宋_GB2312;仿宋" w:hAnsi="仿宋_GB2312;仿宋"/>
          <w:sz w:val="30"/>
          <w:szCs w:val="30"/>
        </w:rPr>
        <w:t>861.00</w:t>
      </w:r>
      <w:r>
        <w:rPr>
          <w:rFonts w:ascii="仿宋_GB2312;仿宋" w:hAnsi="仿宋_GB2312;仿宋" w:eastAsia="仿宋_GB2312;仿宋"/>
          <w:sz w:val="30"/>
          <w:szCs w:val="30"/>
        </w:rPr>
        <w:t>万元。从评价情况来看，项目立项符合相关管理规定，绩效目标较明确，管理科学规范，资金及时到位，项目实施在各方面均产生了较为显著的效果。</w:t>
      </w:r>
    </w:p>
    <w:p>
      <w:pPr>
        <w:pStyle w:val="Normal"/>
        <w:spacing w:lineRule="exact" w:line="560"/>
        <w:ind w:firstLine="600"/>
        <w:rPr>
          <w:rFonts w:ascii="仿宋_GB2312;仿宋" w:hAnsi="仿宋_GB2312;仿宋" w:eastAsia="仿宋_GB2312;仿宋"/>
          <w:sz w:val="30"/>
          <w:szCs w:val="30"/>
        </w:rPr>
      </w:pPr>
      <w:r>
        <w:rPr>
          <w:rFonts w:ascii="仿宋_GB2312;仿宋" w:hAnsi="仿宋_GB2312;仿宋" w:eastAsia="仿宋_GB2312;仿宋"/>
          <w:sz w:val="30"/>
          <w:szCs w:val="30"/>
        </w:rPr>
        <w:t xml:space="preserve">项目绩效自评综述：根据年初设定 </w:t>
      </w:r>
      <w:r>
        <w:rPr>
          <w:rFonts w:eastAsia="仿宋_GB2312;仿宋" w:ascii="仿宋_GB2312;仿宋" w:hAnsi="仿宋_GB2312;仿宋"/>
          <w:sz w:val="30"/>
          <w:szCs w:val="30"/>
        </w:rPr>
        <w:t>17</w:t>
      </w:r>
      <w:r>
        <w:rPr>
          <w:rFonts w:ascii="仿宋_GB2312;仿宋" w:hAnsi="仿宋_GB2312;仿宋" w:eastAsia="仿宋_GB2312;仿宋"/>
          <w:sz w:val="30"/>
          <w:szCs w:val="30"/>
        </w:rPr>
        <w:t>的绩效目标，食品安全监督抽验项目自评得分为</w:t>
      </w:r>
      <w:r>
        <w:rPr>
          <w:rFonts w:eastAsia="仿宋_GB2312;仿宋" w:ascii="仿宋_GB2312;仿宋" w:hAnsi="仿宋_GB2312;仿宋"/>
          <w:sz w:val="30"/>
          <w:szCs w:val="30"/>
        </w:rPr>
        <w:t>94.00</w:t>
      </w:r>
      <w:r>
        <w:rPr>
          <w:rFonts w:ascii="仿宋_GB2312;仿宋" w:hAnsi="仿宋_GB2312;仿宋" w:eastAsia="仿宋_GB2312;仿宋"/>
          <w:sz w:val="30"/>
          <w:szCs w:val="30"/>
        </w:rPr>
        <w:t>分。项目全年预算数为</w:t>
      </w:r>
      <w:r>
        <w:rPr>
          <w:rFonts w:eastAsia="仿宋_GB2312;仿宋" w:ascii="仿宋_GB2312;仿宋" w:hAnsi="仿宋_GB2312;仿宋"/>
          <w:sz w:val="30"/>
          <w:szCs w:val="30"/>
        </w:rPr>
        <w:t>861.00</w:t>
      </w:r>
      <w:r>
        <w:rPr>
          <w:rFonts w:ascii="仿宋_GB2312;仿宋" w:hAnsi="仿宋_GB2312;仿宋" w:eastAsia="仿宋_GB2312;仿宋"/>
          <w:sz w:val="30"/>
          <w:szCs w:val="30"/>
        </w:rPr>
        <w:t>万元，执行数为</w:t>
      </w:r>
      <w:r>
        <w:rPr>
          <w:rFonts w:eastAsia="仿宋_GB2312;仿宋" w:ascii="仿宋_GB2312;仿宋" w:hAnsi="仿宋_GB2312;仿宋"/>
          <w:sz w:val="30"/>
          <w:szCs w:val="30"/>
        </w:rPr>
        <w:t>861.00</w:t>
      </w:r>
      <w:r>
        <w:rPr>
          <w:rFonts w:ascii="仿宋_GB2312;仿宋" w:hAnsi="仿宋_GB2312;仿宋" w:eastAsia="仿宋_GB2312;仿宋"/>
          <w:sz w:val="30"/>
          <w:szCs w:val="30"/>
        </w:rPr>
        <w:t>万元，完成预算的</w:t>
      </w:r>
      <w:r>
        <w:rPr>
          <w:rFonts w:eastAsia="仿宋_GB2312;仿宋" w:ascii="仿宋_GB2312;仿宋" w:hAnsi="仿宋_GB2312;仿宋"/>
          <w:sz w:val="30"/>
          <w:szCs w:val="30"/>
        </w:rPr>
        <w:t>100%</w:t>
      </w:r>
      <w:r>
        <w:rPr>
          <w:rFonts w:ascii="仿宋_GB2312;仿宋" w:hAnsi="仿宋_GB2312;仿宋" w:eastAsia="仿宋_GB2312;仿宋"/>
          <w:sz w:val="30"/>
          <w:szCs w:val="30"/>
        </w:rPr>
        <w:t>。主要产出和效果：项目年度内实际完成食品监督抽验量化考核指标均超过年度绩效目标。发现的问题及原因：部分数量指标的指标值精确程度需进一步提高。下一步改进措施：加强预算绩效管理，进一步提高预算绩效目标制定的科学性、合理性，加强预算绩效执行监控，不断提高财政资金使用效益。</w:t>
      </w:r>
    </w:p>
    <w:p>
      <w:pPr>
        <w:pStyle w:val="Normal"/>
        <w:spacing w:lineRule="exact" w:line="560"/>
        <w:ind w:firstLine="600"/>
        <w:rPr>
          <w:rFonts w:ascii="仿宋_GB2312;仿宋" w:hAnsi="仿宋_GB2312;仿宋" w:eastAsia="仿宋_GB2312;仿宋" w:cs="仿宋_GB2312;仿宋"/>
          <w:sz w:val="30"/>
          <w:szCs w:val="30"/>
        </w:rPr>
      </w:pPr>
      <w:r>
        <w:rPr>
          <w:rFonts w:eastAsia="仿宋_GB2312;仿宋" w:cs="仿宋_GB2312;仿宋" w:ascii="仿宋_GB2312;仿宋" w:hAnsi="仿宋_GB2312;仿宋"/>
          <w:sz w:val="30"/>
          <w:szCs w:val="30"/>
        </w:rPr>
        <w:t xml:space="preserve">  </w:t>
      </w:r>
    </w:p>
    <w:p>
      <w:pPr>
        <w:pStyle w:val="Normal"/>
        <w:ind w:firstLine="600"/>
        <w:rPr>
          <w:rFonts w:ascii="仿宋_GB2312;仿宋" w:hAnsi="仿宋_GB2312;仿宋" w:eastAsia="仿宋_GB2312;仿宋"/>
          <w:sz w:val="30"/>
          <w:szCs w:val="30"/>
        </w:rPr>
      </w:pPr>
      <w:r>
        <w:rPr>
          <w:rFonts w:eastAsia="仿宋_GB2312;仿宋" w:ascii="仿宋_GB2312;仿宋" w:hAnsi="仿宋_GB2312;仿宋"/>
          <w:sz w:val="30"/>
          <w:szCs w:val="30"/>
        </w:rPr>
      </w:r>
    </w:p>
    <w:tbl>
      <w:tblPr>
        <w:tblW w:w="8842" w:type="dxa"/>
        <w:jc w:val="left"/>
        <w:tblInd w:w="91" w:type="dxa"/>
        <w:tblCellMar>
          <w:top w:w="0" w:type="dxa"/>
          <w:left w:w="108" w:type="dxa"/>
          <w:bottom w:w="0" w:type="dxa"/>
          <w:right w:w="108" w:type="dxa"/>
        </w:tblCellMar>
      </w:tblPr>
      <w:tblGrid>
        <w:gridCol w:w="1196"/>
        <w:gridCol w:w="976"/>
        <w:gridCol w:w="228"/>
        <w:gridCol w:w="1692"/>
        <w:gridCol w:w="1701"/>
        <w:gridCol w:w="1958"/>
        <w:gridCol w:w="1081"/>
        <w:gridCol w:w="10"/>
      </w:tblGrid>
      <w:tr>
        <w:trPr>
          <w:trHeight w:val="648" w:hRule="atLeast"/>
        </w:trPr>
        <w:tc>
          <w:tcPr>
            <w:tcW w:w="8832" w:type="dxa"/>
            <w:gridSpan w:val="7"/>
            <w:tcBorders/>
            <w:vAlign w:val="center"/>
          </w:tcPr>
          <w:p>
            <w:pPr>
              <w:pStyle w:val="Normal"/>
              <w:jc w:val="center"/>
              <w:rPr>
                <w:rFonts w:ascii="宋体;SimSun" w:hAnsi="宋体;SimSun" w:cs="宋体;SimSun"/>
                <w:b/>
                <w:b/>
                <w:bCs/>
                <w:color w:val="000000"/>
                <w:kern w:val="0"/>
                <w:sz w:val="32"/>
                <w:szCs w:val="32"/>
              </w:rPr>
            </w:pPr>
            <w:r>
              <w:rPr>
                <w:rFonts w:cs="宋体;SimSun" w:ascii="宋体;SimSun" w:hAnsi="宋体;SimSun"/>
                <w:b/>
                <w:bCs/>
                <w:color w:val="000000"/>
                <w:kern w:val="0"/>
                <w:sz w:val="32"/>
                <w:szCs w:val="32"/>
              </w:rPr>
              <w:t>2017</w:t>
            </w:r>
            <w:r>
              <w:rPr>
                <w:rFonts w:ascii="宋体;SimSun" w:hAnsi="宋体;SimSun" w:cs="宋体;SimSun"/>
                <w:b/>
                <w:bCs/>
                <w:color w:val="000000"/>
                <w:kern w:val="0"/>
                <w:sz w:val="32"/>
                <w:szCs w:val="32"/>
              </w:rPr>
              <w:t>年市本级项目绩效目标表</w:t>
            </w:r>
          </w:p>
        </w:tc>
      </w:tr>
      <w:tr>
        <w:trPr>
          <w:trHeight w:val="420" w:hRule="atLeast"/>
        </w:trPr>
        <w:tc>
          <w:tcPr>
            <w:tcW w:w="8832" w:type="dxa"/>
            <w:gridSpan w:val="7"/>
            <w:tcBorders/>
            <w:vAlign w:val="center"/>
          </w:tcPr>
          <w:p>
            <w:pPr>
              <w:pStyle w:val="Normal"/>
              <w:jc w:val="left"/>
              <w:rPr>
                <w:rFonts w:ascii="宋体;SimSun" w:hAnsi="宋体;SimSun" w:cs="宋体;SimSun"/>
                <w:b/>
                <w:b/>
                <w:bCs/>
                <w:color w:val="000000"/>
                <w:kern w:val="0"/>
                <w:sz w:val="22"/>
                <w:szCs w:val="22"/>
              </w:rPr>
            </w:pPr>
            <w:r>
              <w:rPr>
                <w:rFonts w:ascii="宋体;SimSun" w:hAnsi="宋体;SimSun" w:cs="宋体;SimSun"/>
                <w:b/>
                <w:bCs/>
                <w:color w:val="000000"/>
                <w:kern w:val="0"/>
                <w:sz w:val="22"/>
                <w:szCs w:val="22"/>
              </w:rPr>
              <w:t>主管部门：曲靖市食品药品监督管理局</w:t>
            </w:r>
          </w:p>
        </w:tc>
      </w:tr>
      <w:tr>
        <w:trPr>
          <w:trHeight w:val="480" w:hRule="atLeast"/>
        </w:trPr>
        <w:tc>
          <w:tcPr>
            <w:tcW w:w="2172" w:type="dxa"/>
            <w:gridSpan w:val="2"/>
            <w:tcBorders>
              <w:top w:val="single" w:sz="4" w:space="0" w:color="000000"/>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项目名称</w:t>
            </w:r>
          </w:p>
        </w:tc>
        <w:tc>
          <w:tcPr>
            <w:tcW w:w="3621" w:type="dxa"/>
            <w:gridSpan w:val="3"/>
            <w:tcBorders>
              <w:top w:val="single" w:sz="4" w:space="0" w:color="000000"/>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创建国家食品安全城市食品安全监督抽验经费</w:t>
            </w:r>
          </w:p>
        </w:tc>
        <w:tc>
          <w:tcPr>
            <w:tcW w:w="1958" w:type="dxa"/>
            <w:tcBorders>
              <w:top w:val="single" w:sz="4" w:space="0" w:color="000000"/>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预算部门</w:t>
            </w:r>
          </w:p>
        </w:tc>
        <w:tc>
          <w:tcPr>
            <w:tcW w:w="1091" w:type="dxa"/>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曲靖市食品药品监督管理局</w:t>
            </w:r>
          </w:p>
        </w:tc>
      </w:tr>
      <w:tr>
        <w:trPr>
          <w:trHeight w:val="480" w:hRule="atLeast"/>
        </w:trPr>
        <w:tc>
          <w:tcPr>
            <w:tcW w:w="2172" w:type="dxa"/>
            <w:gridSpan w:val="2"/>
            <w:tcBorders>
              <w:top w:val="single" w:sz="4" w:space="0" w:color="000000"/>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预算安排金额（万元）</w:t>
            </w:r>
          </w:p>
        </w:tc>
        <w:tc>
          <w:tcPr>
            <w:tcW w:w="3621" w:type="dxa"/>
            <w:gridSpan w:val="3"/>
            <w:tcBorders>
              <w:top w:val="single" w:sz="4" w:space="0" w:color="000000"/>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cs="宋体;SimSun" w:ascii="宋体;SimSun" w:hAnsi="宋体;SimSun"/>
                <w:color w:val="000000"/>
                <w:kern w:val="0"/>
                <w:sz w:val="20"/>
                <w:szCs w:val="20"/>
              </w:rPr>
              <w:t>861.00</w:t>
            </w:r>
          </w:p>
        </w:tc>
        <w:tc>
          <w:tcPr>
            <w:tcW w:w="1958" w:type="dxa"/>
            <w:tcBorders>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项目实施期限</w:t>
            </w:r>
          </w:p>
        </w:tc>
        <w:tc>
          <w:tcPr>
            <w:tcW w:w="1091" w:type="dxa"/>
            <w:tcBorders>
              <w:left w:val="single" w:sz="4" w:space="0" w:color="000000"/>
              <w:bottom w:val="single" w:sz="4" w:space="0" w:color="000000"/>
              <w:right w:val="single" w:sz="4" w:space="0" w:color="000000"/>
            </w:tcBorders>
            <w:vAlign w:val="center"/>
          </w:tcPr>
          <w:p>
            <w:pPr>
              <w:pStyle w:val="Normal"/>
              <w:jc w:val="center"/>
              <w:rPr>
                <w:rFonts w:ascii="宋体;SimSun" w:hAnsi="宋体;SimSun" w:cs="宋体;SimSun"/>
                <w:color w:val="000000"/>
                <w:kern w:val="0"/>
                <w:sz w:val="20"/>
                <w:szCs w:val="20"/>
              </w:rPr>
            </w:pPr>
            <w:r>
              <w:rPr>
                <w:rFonts w:cs="宋体;SimSun" w:ascii="宋体;SimSun" w:hAnsi="宋体;SimSun"/>
                <w:color w:val="000000"/>
                <w:kern w:val="0"/>
                <w:sz w:val="20"/>
                <w:szCs w:val="20"/>
              </w:rPr>
              <w:t>2017</w:t>
            </w:r>
            <w:r>
              <w:rPr>
                <w:rFonts w:ascii="宋体;SimSun" w:hAnsi="宋体;SimSun" w:cs="宋体;SimSun"/>
                <w:color w:val="000000"/>
                <w:kern w:val="0"/>
                <w:sz w:val="20"/>
                <w:szCs w:val="20"/>
              </w:rPr>
              <w:t>年度</w:t>
            </w:r>
          </w:p>
        </w:tc>
      </w:tr>
      <w:tr>
        <w:trPr>
          <w:trHeight w:val="1836" w:hRule="atLeast"/>
        </w:trPr>
        <w:tc>
          <w:tcPr>
            <w:tcW w:w="2172" w:type="dxa"/>
            <w:gridSpan w:val="2"/>
            <w:tcBorders>
              <w:top w:val="single" w:sz="4" w:space="0" w:color="000000"/>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项目年度目标</w:t>
            </w:r>
          </w:p>
        </w:tc>
        <w:tc>
          <w:tcPr>
            <w:tcW w:w="6670" w:type="dxa"/>
            <w:gridSpan w:val="5"/>
            <w:tcBorders>
              <w:top w:val="single" w:sz="4" w:space="0" w:color="000000"/>
              <w:left w:val="single" w:sz="4" w:space="0" w:color="000000"/>
              <w:bottom w:val="single" w:sz="4" w:space="0" w:color="000000"/>
              <w:right w:val="single" w:sz="4" w:space="0" w:color="000000"/>
            </w:tcBorders>
          </w:tcPr>
          <w:p>
            <w:pPr>
              <w:pStyle w:val="Normal"/>
              <w:jc w:val="left"/>
              <w:rPr>
                <w:rFonts w:ascii="宋体;SimSun" w:hAnsi="宋体;SimSun" w:cs="宋体;SimSun"/>
                <w:color w:val="000000"/>
                <w:kern w:val="0"/>
                <w:sz w:val="20"/>
                <w:szCs w:val="20"/>
              </w:rPr>
            </w:pPr>
            <w:r>
              <w:rPr>
                <w:rFonts w:cs="宋体;SimSun" w:ascii="宋体;SimSun" w:hAnsi="宋体;SimSun"/>
                <w:color w:val="000000"/>
                <w:kern w:val="0"/>
                <w:sz w:val="20"/>
                <w:szCs w:val="20"/>
              </w:rPr>
              <w:t xml:space="preserve"> </w:t>
            </w:r>
            <w:r>
              <w:rPr>
                <w:rFonts w:ascii="宋体;SimSun" w:hAnsi="宋体;SimSun" w:cs="宋体;SimSun"/>
                <w:color w:val="000000"/>
                <w:kern w:val="0"/>
                <w:sz w:val="20"/>
                <w:szCs w:val="20"/>
              </w:rPr>
              <w:t>目标</w:t>
            </w:r>
            <w:r>
              <w:rPr>
                <w:rFonts w:cs="宋体;SimSun" w:ascii="宋体;SimSun" w:hAnsi="宋体;SimSun"/>
                <w:color w:val="000000"/>
                <w:kern w:val="0"/>
                <w:sz w:val="20"/>
                <w:szCs w:val="20"/>
              </w:rPr>
              <w:t>1</w:t>
            </w:r>
            <w:r>
              <w:rPr>
                <w:rFonts w:ascii="宋体;SimSun" w:hAnsi="宋体;SimSun" w:cs="宋体;SimSun"/>
                <w:color w:val="000000"/>
                <w:kern w:val="0"/>
                <w:sz w:val="20"/>
                <w:szCs w:val="20"/>
              </w:rPr>
              <w:t>：通过食品安全监督抽检，及时发现各种风险隐患和等级食品安全问题，严防问题食品流入餐桌。实现及时发布预警信息，及时核查处置各种风险问题，倒逼生产经营企业落实食品安全主体责任，保障食品安全，促进食品相关产业健康发展，使全市人民群众获得更大的食品安全保障。</w:t>
            </w:r>
            <w:r>
              <w:rPr>
                <w:rFonts w:cs="宋体;SimSun" w:ascii="宋体;SimSun" w:hAnsi="宋体;SimSun"/>
                <w:color w:val="000000"/>
                <w:kern w:val="0"/>
                <w:sz w:val="20"/>
                <w:szCs w:val="20"/>
              </w:rPr>
              <w:br/>
              <w:t xml:space="preserve"> </w:t>
            </w:r>
            <w:r>
              <w:rPr>
                <w:rFonts w:ascii="宋体;SimSun" w:hAnsi="宋体;SimSun" w:cs="宋体;SimSun"/>
                <w:color w:val="000000"/>
                <w:kern w:val="0"/>
                <w:sz w:val="20"/>
                <w:szCs w:val="20"/>
              </w:rPr>
              <w:t>目标</w:t>
            </w:r>
            <w:r>
              <w:rPr>
                <w:rFonts w:cs="宋体;SimSun" w:ascii="宋体;SimSun" w:hAnsi="宋体;SimSun"/>
                <w:color w:val="000000"/>
                <w:kern w:val="0"/>
                <w:sz w:val="20"/>
                <w:szCs w:val="20"/>
              </w:rPr>
              <w:t>2</w:t>
            </w:r>
            <w:r>
              <w:rPr>
                <w:rFonts w:ascii="宋体;SimSun" w:hAnsi="宋体;SimSun" w:cs="宋体;SimSun"/>
                <w:color w:val="000000"/>
                <w:kern w:val="0"/>
                <w:sz w:val="20"/>
                <w:szCs w:val="20"/>
              </w:rPr>
              <w:t>：完成</w:t>
            </w:r>
            <w:r>
              <w:rPr>
                <w:rFonts w:cs="宋体;SimSun" w:ascii="宋体;SimSun" w:hAnsi="宋体;SimSun"/>
                <w:color w:val="000000"/>
                <w:kern w:val="0"/>
                <w:sz w:val="20"/>
                <w:szCs w:val="20"/>
              </w:rPr>
              <w:t>2017</w:t>
            </w:r>
            <w:r>
              <w:rPr>
                <w:rFonts w:ascii="宋体;SimSun" w:hAnsi="宋体;SimSun" w:cs="宋体;SimSun"/>
                <w:color w:val="000000"/>
                <w:kern w:val="0"/>
                <w:sz w:val="20"/>
                <w:szCs w:val="20"/>
              </w:rPr>
              <w:t>年度食品安全监督抽检任务为</w:t>
            </w:r>
            <w:r>
              <w:rPr>
                <w:rFonts w:cs="宋体;SimSun" w:ascii="宋体;SimSun" w:hAnsi="宋体;SimSun"/>
                <w:color w:val="000000"/>
                <w:kern w:val="0"/>
                <w:sz w:val="20"/>
                <w:szCs w:val="20"/>
              </w:rPr>
              <w:t>8638</w:t>
            </w:r>
            <w:r>
              <w:rPr>
                <w:rFonts w:ascii="宋体;SimSun" w:hAnsi="宋体;SimSun" w:cs="宋体;SimSun"/>
                <w:color w:val="000000"/>
                <w:kern w:val="0"/>
                <w:sz w:val="20"/>
                <w:szCs w:val="20"/>
              </w:rPr>
              <w:t>批次（按全市人口比例每千人</w:t>
            </w:r>
            <w:r>
              <w:rPr>
                <w:rFonts w:cs="宋体;SimSun" w:ascii="宋体;SimSun" w:hAnsi="宋体;SimSun"/>
                <w:color w:val="000000"/>
                <w:kern w:val="0"/>
                <w:sz w:val="20"/>
                <w:szCs w:val="20"/>
              </w:rPr>
              <w:t>4</w:t>
            </w:r>
            <w:r>
              <w:rPr>
                <w:rFonts w:ascii="宋体;SimSun" w:hAnsi="宋体;SimSun" w:cs="宋体;SimSun"/>
                <w:color w:val="000000"/>
                <w:kern w:val="0"/>
                <w:sz w:val="20"/>
                <w:szCs w:val="20"/>
              </w:rPr>
              <w:t>份计算）。</w:t>
            </w:r>
          </w:p>
        </w:tc>
      </w:tr>
      <w:tr>
        <w:trPr>
          <w:trHeight w:val="288" w:hRule="atLeast"/>
        </w:trPr>
        <w:tc>
          <w:tcPr>
            <w:tcW w:w="4092" w:type="dxa"/>
            <w:gridSpan w:val="4"/>
            <w:tcBorders>
              <w:top w:val="single" w:sz="4" w:space="0" w:color="000000"/>
              <w:left w:val="single" w:sz="4" w:space="0" w:color="000000"/>
              <w:bottom w:val="single" w:sz="4" w:space="0" w:color="000000"/>
            </w:tcBorders>
            <w:shd w:fill="969696" w:val="clear"/>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项目绩效指标</w:t>
            </w:r>
          </w:p>
        </w:tc>
        <w:tc>
          <w:tcPr>
            <w:tcW w:w="1701" w:type="dxa"/>
            <w:vMerge w:val="restart"/>
            <w:tcBorders>
              <w:left w:val="single" w:sz="4" w:space="0" w:color="000000"/>
              <w:bottom w:val="single" w:sz="4" w:space="0" w:color="000000"/>
            </w:tcBorders>
            <w:shd w:fill="969696" w:val="clear"/>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指标值</w:t>
            </w:r>
          </w:p>
        </w:tc>
        <w:tc>
          <w:tcPr>
            <w:tcW w:w="3049" w:type="dxa"/>
            <w:gridSpan w:val="2"/>
            <w:vMerge w:val="restart"/>
            <w:tcBorders>
              <w:top w:val="single" w:sz="4" w:space="0" w:color="000000"/>
              <w:left w:val="single" w:sz="4" w:space="0" w:color="000000"/>
              <w:bottom w:val="single" w:sz="4" w:space="0" w:color="000000"/>
              <w:right w:val="single" w:sz="4" w:space="0" w:color="000000"/>
            </w:tcBorders>
            <w:shd w:fill="969696" w:val="clear"/>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绩效指标值设定依据和数据来源</w:t>
            </w:r>
          </w:p>
        </w:tc>
      </w:tr>
      <w:tr>
        <w:trPr>
          <w:trHeight w:val="420" w:hRule="atLeast"/>
        </w:trPr>
        <w:tc>
          <w:tcPr>
            <w:tcW w:w="1196" w:type="dxa"/>
            <w:tcBorders>
              <w:left w:val="single" w:sz="4" w:space="0" w:color="000000"/>
              <w:bottom w:val="single" w:sz="4" w:space="0" w:color="000000"/>
            </w:tcBorders>
            <w:shd w:fill="969696" w:val="clear"/>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一级指标</w:t>
            </w:r>
          </w:p>
        </w:tc>
        <w:tc>
          <w:tcPr>
            <w:tcW w:w="1204" w:type="dxa"/>
            <w:gridSpan w:val="2"/>
            <w:tcBorders>
              <w:left w:val="single" w:sz="4" w:space="0" w:color="000000"/>
              <w:bottom w:val="single" w:sz="4" w:space="0" w:color="000000"/>
            </w:tcBorders>
            <w:shd w:fill="969696" w:val="clear"/>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二级指标</w:t>
            </w:r>
          </w:p>
        </w:tc>
        <w:tc>
          <w:tcPr>
            <w:tcW w:w="1692" w:type="dxa"/>
            <w:tcBorders>
              <w:left w:val="single" w:sz="4" w:space="0" w:color="000000"/>
              <w:bottom w:val="single" w:sz="4" w:space="0" w:color="000000"/>
            </w:tcBorders>
            <w:shd w:fill="969696" w:val="clear"/>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三级指标</w:t>
            </w:r>
          </w:p>
        </w:tc>
        <w:tc>
          <w:tcPr>
            <w:tcW w:w="1701" w:type="dxa"/>
            <w:vMerge w:val="continue"/>
            <w:tcBorders>
              <w:left w:val="single" w:sz="4" w:space="0" w:color="000000"/>
              <w:bottom w:val="single" w:sz="4" w:space="0" w:color="000000"/>
            </w:tcBorders>
            <w:shd w:fill="969696" w:val="clear"/>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3049" w:type="dxa"/>
            <w:gridSpan w:val="2"/>
            <w:vMerge w:val="continue"/>
            <w:tcBorders>
              <w:top w:val="single" w:sz="4" w:space="0" w:color="000000"/>
              <w:left w:val="single" w:sz="4" w:space="0" w:color="000000"/>
              <w:bottom w:val="single" w:sz="4" w:space="0" w:color="000000"/>
              <w:right w:val="single" w:sz="4" w:space="0" w:color="000000"/>
            </w:tcBorders>
            <w:shd w:fill="969696" w:val="clear"/>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r>
      <w:tr>
        <w:trPr>
          <w:trHeight w:val="780" w:hRule="atLeast"/>
        </w:trPr>
        <w:tc>
          <w:tcPr>
            <w:tcW w:w="1196" w:type="dxa"/>
            <w:vMerge w:val="restart"/>
            <w:tcBorders>
              <w:left w:val="single" w:sz="4" w:space="0" w:color="000000"/>
              <w:bottom w:val="single" w:sz="4" w:space="0" w:color="000000"/>
            </w:tcBorders>
            <w:textDirection w:val="tbRl"/>
            <w:vAlign w:val="center"/>
          </w:tcPr>
          <w:p>
            <w:pPr>
              <w:pStyle w:val="Normal"/>
              <w:jc w:val="center"/>
              <w:rPr>
                <w:rFonts w:ascii="宋体;SimSun" w:hAnsi="宋体;SimSun" w:cs="宋体;SimSun"/>
                <w:kern w:val="0"/>
                <w:sz w:val="20"/>
                <w:szCs w:val="20"/>
              </w:rPr>
            </w:pPr>
            <w:r>
              <w:rPr>
                <w:rFonts w:ascii="宋体;SimSun" w:hAnsi="宋体;SimSun" w:cs="宋体;SimSun"/>
                <w:kern w:val="0"/>
                <w:sz w:val="20"/>
                <w:szCs w:val="20"/>
              </w:rPr>
              <w:t>产出指标</w:t>
            </w:r>
          </w:p>
        </w:tc>
        <w:tc>
          <w:tcPr>
            <w:tcW w:w="1204" w:type="dxa"/>
            <w:gridSpan w:val="2"/>
            <w:tcBorders>
              <w:left w:val="single" w:sz="4" w:space="0" w:color="000000"/>
            </w:tcBorders>
            <w:vAlign w:val="center"/>
          </w:tcPr>
          <w:p>
            <w:pPr>
              <w:pStyle w:val="Normal"/>
              <w:jc w:val="center"/>
              <w:rPr>
                <w:rFonts w:ascii="宋体;SimSun" w:hAnsi="宋体;SimSun" w:cs="宋体;SimSun"/>
                <w:kern w:val="0"/>
                <w:sz w:val="20"/>
                <w:szCs w:val="20"/>
              </w:rPr>
            </w:pPr>
            <w:r>
              <w:rPr>
                <w:rFonts w:ascii="宋体;SimSun" w:hAnsi="宋体;SimSun" w:cs="宋体;SimSun"/>
                <w:kern w:val="0"/>
                <w:sz w:val="20"/>
                <w:szCs w:val="20"/>
              </w:rPr>
              <w:t>数量指标</w:t>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kern w:val="0"/>
                <w:sz w:val="20"/>
                <w:szCs w:val="20"/>
              </w:rPr>
            </w:pPr>
            <w:r>
              <w:rPr>
                <w:rFonts w:ascii="宋体;SimSun" w:hAnsi="宋体;SimSun" w:cs="宋体;SimSun"/>
                <w:kern w:val="0"/>
                <w:sz w:val="20"/>
                <w:szCs w:val="20"/>
              </w:rPr>
              <w:t>指标</w:t>
            </w:r>
            <w:r>
              <w:rPr>
                <w:rFonts w:cs="宋体;SimSun" w:ascii="宋体;SimSun" w:hAnsi="宋体;SimSun"/>
                <w:kern w:val="0"/>
                <w:sz w:val="20"/>
                <w:szCs w:val="20"/>
              </w:rPr>
              <w:t>1:</w:t>
            </w:r>
            <w:r>
              <w:rPr>
                <w:rFonts w:ascii="宋体;SimSun" w:hAnsi="宋体;SimSun" w:cs="宋体;SimSun"/>
                <w:kern w:val="0"/>
                <w:sz w:val="20"/>
                <w:szCs w:val="20"/>
              </w:rPr>
              <w:t>食品安全抽检</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kern w:val="0"/>
                <w:sz w:val="20"/>
                <w:szCs w:val="20"/>
              </w:rPr>
            </w:pPr>
            <w:r>
              <w:rPr>
                <w:rFonts w:cs="宋体;SimSun" w:ascii="宋体;SimSun" w:hAnsi="宋体;SimSun"/>
                <w:kern w:val="0"/>
                <w:sz w:val="20"/>
                <w:szCs w:val="20"/>
              </w:rPr>
              <w:t>≥</w:t>
            </w:r>
            <w:r>
              <w:rPr>
                <w:rFonts w:cs="宋体;SimSun" w:ascii="宋体;SimSun" w:hAnsi="宋体;SimSun"/>
                <w:kern w:val="0"/>
                <w:sz w:val="20"/>
                <w:szCs w:val="20"/>
              </w:rPr>
              <w:t>8638</w:t>
            </w:r>
            <w:r>
              <w:rPr>
                <w:rFonts w:ascii="宋体;SimSun" w:hAnsi="宋体;SimSun" w:cs="宋体;SimSun"/>
                <w:kern w:val="0"/>
                <w:sz w:val="20"/>
                <w:szCs w:val="20"/>
              </w:rPr>
              <w:t>批次</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kern w:val="0"/>
                <w:sz w:val="20"/>
                <w:szCs w:val="20"/>
              </w:rPr>
            </w:pPr>
            <w:r>
              <w:rPr>
                <w:rFonts w:ascii="宋体;SimSun" w:hAnsi="宋体;SimSun" w:cs="宋体;SimSun"/>
                <w:kern w:val="0"/>
                <w:sz w:val="20"/>
                <w:szCs w:val="20"/>
              </w:rPr>
              <w:t>曲靖市</w:t>
            </w:r>
            <w:r>
              <w:rPr>
                <w:rFonts w:cs="宋体;SimSun" w:ascii="宋体;SimSun" w:hAnsi="宋体;SimSun"/>
                <w:kern w:val="0"/>
                <w:sz w:val="20"/>
                <w:szCs w:val="20"/>
              </w:rPr>
              <w:t>2018</w:t>
            </w:r>
            <w:r>
              <w:rPr>
                <w:rFonts w:ascii="宋体;SimSun" w:hAnsi="宋体;SimSun" w:cs="宋体;SimSun"/>
                <w:kern w:val="0"/>
                <w:sz w:val="20"/>
                <w:szCs w:val="20"/>
              </w:rPr>
              <w:t>年食品安全监督抽检实施方案</w:t>
            </w:r>
          </w:p>
        </w:tc>
      </w:tr>
      <w:tr>
        <w:trPr>
          <w:trHeight w:val="630"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kern w:val="0"/>
                <w:sz w:val="20"/>
                <w:szCs w:val="20"/>
              </w:rPr>
            </w:pPr>
            <w:r>
              <w:rPr>
                <w:rFonts w:cs="宋体;SimSun" w:ascii="宋体;SimSun" w:hAnsi="宋体;SimSun"/>
                <w:kern w:val="0"/>
                <w:sz w:val="20"/>
                <w:szCs w:val="20"/>
              </w:rPr>
            </w:r>
          </w:p>
        </w:tc>
        <w:tc>
          <w:tcPr>
            <w:tcW w:w="1204" w:type="dxa"/>
            <w:gridSpan w:val="2"/>
            <w:vMerge w:val="restart"/>
            <w:tcBorders>
              <w:top w:val="single" w:sz="4" w:space="0" w:color="000000"/>
              <w:left w:val="single" w:sz="4" w:space="0" w:color="000000"/>
              <w:bottom w:val="single" w:sz="4" w:space="0" w:color="000000"/>
            </w:tcBorders>
            <w:vAlign w:val="center"/>
          </w:tcPr>
          <w:p>
            <w:pPr>
              <w:pStyle w:val="Normal"/>
              <w:jc w:val="center"/>
              <w:rPr>
                <w:rFonts w:ascii="宋体;SimSun" w:hAnsi="宋体;SimSun" w:cs="宋体;SimSun"/>
                <w:kern w:val="0"/>
                <w:sz w:val="20"/>
                <w:szCs w:val="20"/>
              </w:rPr>
            </w:pPr>
            <w:r>
              <w:rPr>
                <w:rFonts w:ascii="宋体;SimSun" w:hAnsi="宋体;SimSun" w:cs="宋体;SimSun"/>
                <w:kern w:val="0"/>
                <w:sz w:val="20"/>
                <w:szCs w:val="20"/>
              </w:rPr>
              <w:t>质量指标</w:t>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kern w:val="0"/>
                <w:sz w:val="20"/>
                <w:szCs w:val="20"/>
              </w:rPr>
            </w:pPr>
            <w:r>
              <w:rPr>
                <w:rFonts w:ascii="宋体;SimSun" w:hAnsi="宋体;SimSun" w:cs="宋体;SimSun"/>
                <w:kern w:val="0"/>
                <w:sz w:val="20"/>
                <w:szCs w:val="20"/>
              </w:rPr>
              <w:t>指标</w:t>
            </w:r>
            <w:r>
              <w:rPr>
                <w:rFonts w:cs="宋体;SimSun" w:ascii="宋体;SimSun" w:hAnsi="宋体;SimSun"/>
                <w:kern w:val="0"/>
                <w:sz w:val="20"/>
                <w:szCs w:val="20"/>
              </w:rPr>
              <w:t>1:</w:t>
            </w:r>
            <w:r>
              <w:rPr>
                <w:rFonts w:ascii="宋体;SimSun" w:hAnsi="宋体;SimSun" w:cs="宋体;SimSun"/>
                <w:kern w:val="0"/>
                <w:sz w:val="20"/>
                <w:szCs w:val="20"/>
              </w:rPr>
              <w:t>项目检验率</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kern w:val="0"/>
                <w:sz w:val="20"/>
                <w:szCs w:val="20"/>
              </w:rPr>
            </w:pPr>
            <w:r>
              <w:rPr>
                <w:rFonts w:cs="宋体;SimSun" w:ascii="宋体;SimSun" w:hAnsi="宋体;SimSun"/>
                <w:kern w:val="0"/>
                <w:sz w:val="20"/>
                <w:szCs w:val="20"/>
              </w:rPr>
              <w:t>85%</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kern w:val="0"/>
                <w:sz w:val="20"/>
                <w:szCs w:val="20"/>
              </w:rPr>
            </w:pPr>
            <w:r>
              <w:rPr>
                <w:rFonts w:ascii="宋体;SimSun" w:hAnsi="宋体;SimSun" w:cs="宋体;SimSun"/>
                <w:kern w:val="0"/>
                <w:sz w:val="20"/>
                <w:szCs w:val="20"/>
              </w:rPr>
              <w:t>《曲靖市食品药品安全“十三五”规划》</w:t>
            </w:r>
            <w:r>
              <w:rPr>
                <w:rFonts w:cs="宋体;SimSun" w:ascii="宋体;SimSun" w:hAnsi="宋体;SimSun"/>
                <w:kern w:val="0"/>
                <w:sz w:val="20"/>
                <w:szCs w:val="20"/>
              </w:rPr>
              <w:t>(</w:t>
            </w:r>
            <w:r>
              <w:rPr>
                <w:rFonts w:ascii="宋体;SimSun" w:hAnsi="宋体;SimSun" w:cs="宋体;SimSun"/>
                <w:kern w:val="0"/>
                <w:sz w:val="20"/>
                <w:szCs w:val="20"/>
              </w:rPr>
              <w:t>曲食安委办〔</w:t>
            </w:r>
            <w:r>
              <w:rPr>
                <w:rFonts w:cs="宋体;SimSun" w:ascii="宋体;SimSun" w:hAnsi="宋体;SimSun"/>
                <w:kern w:val="0"/>
                <w:sz w:val="20"/>
                <w:szCs w:val="20"/>
              </w:rPr>
              <w:t>2017</w:t>
            </w:r>
            <w:r>
              <w:rPr>
                <w:rFonts w:ascii="宋体;SimSun" w:hAnsi="宋体;SimSun" w:cs="宋体;SimSun"/>
                <w:kern w:val="0"/>
                <w:sz w:val="20"/>
                <w:szCs w:val="20"/>
              </w:rPr>
              <w:t>〕</w:t>
            </w:r>
            <w:r>
              <w:rPr>
                <w:rFonts w:cs="宋体;SimSun" w:ascii="宋体;SimSun" w:hAnsi="宋体;SimSun"/>
                <w:kern w:val="0"/>
                <w:sz w:val="20"/>
                <w:szCs w:val="20"/>
              </w:rPr>
              <w:t xml:space="preserve">27 </w:t>
            </w:r>
            <w:r>
              <w:rPr>
                <w:rFonts w:ascii="宋体;SimSun" w:hAnsi="宋体;SimSun" w:cs="宋体;SimSun"/>
                <w:kern w:val="0"/>
                <w:sz w:val="20"/>
                <w:szCs w:val="20"/>
              </w:rPr>
              <w:t>号</w:t>
            </w:r>
            <w:r>
              <w:rPr>
                <w:rFonts w:cs="宋体;SimSun" w:ascii="宋体;SimSun" w:hAnsi="宋体;SimSun"/>
                <w:kern w:val="0"/>
                <w:sz w:val="20"/>
                <w:szCs w:val="20"/>
              </w:rPr>
              <w:t>)</w:t>
            </w:r>
            <w:r>
              <w:rPr>
                <w:rFonts w:ascii="宋体;SimSun" w:hAnsi="宋体;SimSun" w:cs="宋体;SimSun"/>
                <w:kern w:val="0"/>
                <w:sz w:val="20"/>
                <w:szCs w:val="20"/>
              </w:rPr>
              <w:t>和</w:t>
            </w:r>
          </w:p>
        </w:tc>
      </w:tr>
      <w:tr>
        <w:trPr>
          <w:trHeight w:val="630"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kern w:val="0"/>
                <w:sz w:val="20"/>
                <w:szCs w:val="20"/>
              </w:rPr>
            </w:pPr>
            <w:r>
              <w:rPr>
                <w:rFonts w:cs="宋体;SimSun" w:ascii="宋体;SimSun" w:hAnsi="宋体;SimSun"/>
                <w:kern w:val="0"/>
                <w:sz w:val="20"/>
                <w:szCs w:val="20"/>
              </w:rPr>
            </w:r>
          </w:p>
        </w:tc>
        <w:tc>
          <w:tcPr>
            <w:tcW w:w="1204" w:type="dxa"/>
            <w:gridSpan w:val="2"/>
            <w:vMerge w:val="continue"/>
            <w:tcBorders>
              <w:top w:val="single" w:sz="4" w:space="0" w:color="000000"/>
              <w:left w:val="single" w:sz="4" w:space="0" w:color="000000"/>
              <w:bottom w:val="single" w:sz="4" w:space="0" w:color="000000"/>
            </w:tcBorders>
            <w:vAlign w:val="center"/>
          </w:tcPr>
          <w:p>
            <w:pPr>
              <w:pStyle w:val="Normal"/>
              <w:snapToGrid w:val="false"/>
              <w:jc w:val="left"/>
              <w:rPr>
                <w:rFonts w:ascii="宋体;SimSun" w:hAnsi="宋体;SimSun" w:cs="宋体;SimSun"/>
                <w:kern w:val="0"/>
                <w:sz w:val="20"/>
                <w:szCs w:val="20"/>
              </w:rPr>
            </w:pPr>
            <w:r>
              <w:rPr>
                <w:rFonts w:cs="宋体;SimSun" w:ascii="宋体;SimSun" w:hAnsi="宋体;SimSun"/>
                <w:kern w:val="0"/>
                <w:sz w:val="20"/>
                <w:szCs w:val="20"/>
              </w:rPr>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kern w:val="0"/>
                <w:sz w:val="20"/>
                <w:szCs w:val="20"/>
              </w:rPr>
            </w:pPr>
            <w:r>
              <w:rPr>
                <w:rFonts w:ascii="宋体;SimSun" w:hAnsi="宋体;SimSun" w:cs="宋体;SimSun"/>
                <w:kern w:val="0"/>
                <w:sz w:val="20"/>
                <w:szCs w:val="20"/>
              </w:rPr>
              <w:t>指标</w:t>
            </w:r>
            <w:r>
              <w:rPr>
                <w:rFonts w:cs="宋体;SimSun" w:ascii="宋体;SimSun" w:hAnsi="宋体;SimSun"/>
                <w:kern w:val="0"/>
                <w:sz w:val="20"/>
                <w:szCs w:val="20"/>
              </w:rPr>
              <w:t>2:</w:t>
            </w:r>
            <w:r>
              <w:rPr>
                <w:rFonts w:ascii="宋体;SimSun" w:hAnsi="宋体;SimSun" w:cs="宋体;SimSun"/>
                <w:kern w:val="0"/>
                <w:sz w:val="20"/>
                <w:szCs w:val="20"/>
              </w:rPr>
              <w:t>检验人员培训合格率</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kern w:val="0"/>
                <w:sz w:val="20"/>
                <w:szCs w:val="20"/>
              </w:rPr>
            </w:pPr>
            <w:r>
              <w:rPr>
                <w:rFonts w:cs="宋体;SimSun" w:ascii="宋体;SimSun" w:hAnsi="宋体;SimSun"/>
                <w:kern w:val="0"/>
                <w:sz w:val="20"/>
                <w:szCs w:val="20"/>
              </w:rPr>
              <w:t>100%</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kern w:val="0"/>
                <w:sz w:val="20"/>
                <w:szCs w:val="20"/>
              </w:rPr>
            </w:pPr>
            <w:r>
              <w:rPr>
                <w:rFonts w:ascii="宋体;SimSun" w:hAnsi="宋体;SimSun" w:cs="宋体;SimSun"/>
                <w:kern w:val="0"/>
                <w:sz w:val="20"/>
                <w:szCs w:val="20"/>
              </w:rPr>
              <w:t>单位培训计划</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kern w:val="0"/>
                <w:sz w:val="20"/>
                <w:szCs w:val="20"/>
              </w:rPr>
            </w:pPr>
            <w:r>
              <w:rPr>
                <w:rFonts w:cs="宋体;SimSun" w:ascii="宋体;SimSun" w:hAnsi="宋体;SimSun"/>
                <w:kern w:val="0"/>
                <w:sz w:val="20"/>
                <w:szCs w:val="20"/>
              </w:rPr>
            </w:r>
          </w:p>
        </w:tc>
        <w:tc>
          <w:tcPr>
            <w:tcW w:w="1204" w:type="dxa"/>
            <w:gridSpan w:val="2"/>
            <w:vMerge w:val="restart"/>
            <w:tcBorders>
              <w:left w:val="single" w:sz="4" w:space="0" w:color="000000"/>
              <w:bottom w:val="single" w:sz="4" w:space="0" w:color="000000"/>
            </w:tcBorders>
            <w:vAlign w:val="center"/>
          </w:tcPr>
          <w:p>
            <w:pPr>
              <w:pStyle w:val="Normal"/>
              <w:jc w:val="center"/>
              <w:rPr>
                <w:rFonts w:ascii="宋体;SimSun" w:hAnsi="宋体;SimSun" w:cs="宋体;SimSun"/>
                <w:kern w:val="0"/>
                <w:sz w:val="20"/>
                <w:szCs w:val="20"/>
              </w:rPr>
            </w:pPr>
            <w:r>
              <w:rPr>
                <w:rFonts w:ascii="宋体;SimSun" w:hAnsi="宋体;SimSun" w:cs="宋体;SimSun"/>
                <w:kern w:val="0"/>
                <w:sz w:val="20"/>
                <w:szCs w:val="20"/>
              </w:rPr>
              <w:t>时效指标</w:t>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kern w:val="0"/>
                <w:sz w:val="20"/>
                <w:szCs w:val="20"/>
              </w:rPr>
            </w:pPr>
            <w:r>
              <w:rPr>
                <w:rFonts w:ascii="宋体;SimSun" w:hAnsi="宋体;SimSun" w:cs="宋体;SimSun"/>
                <w:kern w:val="0"/>
                <w:sz w:val="20"/>
                <w:szCs w:val="20"/>
              </w:rPr>
              <w:t>指标</w:t>
            </w:r>
            <w:r>
              <w:rPr>
                <w:rFonts w:cs="宋体;SimSun" w:ascii="宋体;SimSun" w:hAnsi="宋体;SimSun"/>
                <w:kern w:val="0"/>
                <w:sz w:val="20"/>
                <w:szCs w:val="20"/>
              </w:rPr>
              <w:t>1:</w:t>
            </w:r>
            <w:r>
              <w:rPr>
                <w:rFonts w:ascii="宋体;SimSun" w:hAnsi="宋体;SimSun" w:cs="宋体;SimSun"/>
                <w:kern w:val="0"/>
                <w:sz w:val="20"/>
                <w:szCs w:val="20"/>
              </w:rPr>
              <w:t>任务完成时间</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kern w:val="0"/>
                <w:sz w:val="20"/>
                <w:szCs w:val="20"/>
              </w:rPr>
            </w:pPr>
            <w:r>
              <w:rPr>
                <w:rFonts w:cs="宋体;SimSun" w:ascii="宋体;SimSun" w:hAnsi="宋体;SimSun"/>
                <w:kern w:val="0"/>
                <w:sz w:val="20"/>
                <w:szCs w:val="20"/>
              </w:rPr>
              <w:t>2017</w:t>
            </w:r>
            <w:r>
              <w:rPr>
                <w:rFonts w:ascii="宋体;SimSun" w:hAnsi="宋体;SimSun" w:cs="宋体;SimSun"/>
                <w:kern w:val="0"/>
                <w:sz w:val="20"/>
                <w:szCs w:val="20"/>
              </w:rPr>
              <w:t>年</w:t>
            </w:r>
            <w:r>
              <w:rPr>
                <w:rFonts w:cs="宋体;SimSun" w:ascii="宋体;SimSun" w:hAnsi="宋体;SimSun"/>
                <w:kern w:val="0"/>
                <w:sz w:val="20"/>
                <w:szCs w:val="20"/>
              </w:rPr>
              <w:t>12</w:t>
            </w:r>
            <w:r>
              <w:rPr>
                <w:rFonts w:ascii="宋体;SimSun" w:hAnsi="宋体;SimSun" w:cs="宋体;SimSun"/>
                <w:kern w:val="0"/>
                <w:sz w:val="20"/>
                <w:szCs w:val="20"/>
              </w:rPr>
              <w:t>月底</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kern w:val="0"/>
                <w:sz w:val="20"/>
                <w:szCs w:val="20"/>
              </w:rPr>
            </w:pPr>
            <w:r>
              <w:rPr>
                <w:rFonts w:ascii="宋体;SimSun" w:hAnsi="宋体;SimSun" w:cs="宋体;SimSun"/>
                <w:kern w:val="0"/>
                <w:sz w:val="20"/>
                <w:szCs w:val="20"/>
              </w:rPr>
              <w:t>曲靖市</w:t>
            </w:r>
            <w:r>
              <w:rPr>
                <w:rFonts w:cs="宋体;SimSun" w:ascii="宋体;SimSun" w:hAnsi="宋体;SimSun"/>
                <w:kern w:val="0"/>
                <w:sz w:val="20"/>
                <w:szCs w:val="20"/>
              </w:rPr>
              <w:t>2018</w:t>
            </w:r>
            <w:r>
              <w:rPr>
                <w:rFonts w:ascii="宋体;SimSun" w:hAnsi="宋体;SimSun" w:cs="宋体;SimSun"/>
                <w:kern w:val="0"/>
                <w:sz w:val="20"/>
                <w:szCs w:val="20"/>
              </w:rPr>
              <w:t>年食品安全监督抽检实施方案</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kern w:val="0"/>
                <w:sz w:val="20"/>
                <w:szCs w:val="20"/>
              </w:rPr>
            </w:pPr>
            <w:r>
              <w:rPr>
                <w:rFonts w:cs="宋体;SimSun" w:ascii="宋体;SimSun" w:hAnsi="宋体;SimSun"/>
                <w:kern w:val="0"/>
                <w:sz w:val="20"/>
                <w:szCs w:val="20"/>
              </w:rPr>
            </w:r>
          </w:p>
        </w:tc>
        <w:tc>
          <w:tcPr>
            <w:tcW w:w="1204" w:type="dxa"/>
            <w:gridSpan w:val="2"/>
            <w:vMerge w:val="continue"/>
            <w:tcBorders>
              <w:left w:val="single" w:sz="4" w:space="0" w:color="000000"/>
              <w:bottom w:val="single" w:sz="4" w:space="0" w:color="000000"/>
            </w:tcBorders>
            <w:vAlign w:val="center"/>
          </w:tcPr>
          <w:p>
            <w:pPr>
              <w:pStyle w:val="Normal"/>
              <w:snapToGrid w:val="false"/>
              <w:jc w:val="left"/>
              <w:rPr>
                <w:rFonts w:ascii="宋体;SimSun" w:hAnsi="宋体;SimSun" w:cs="宋体;SimSun"/>
                <w:kern w:val="0"/>
                <w:sz w:val="20"/>
                <w:szCs w:val="20"/>
              </w:rPr>
            </w:pPr>
            <w:r>
              <w:rPr>
                <w:rFonts w:cs="宋体;SimSun" w:ascii="宋体;SimSun" w:hAnsi="宋体;SimSun"/>
                <w:kern w:val="0"/>
                <w:sz w:val="20"/>
                <w:szCs w:val="20"/>
              </w:rPr>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kern w:val="0"/>
                <w:sz w:val="20"/>
                <w:szCs w:val="20"/>
              </w:rPr>
            </w:pPr>
            <w:r>
              <w:rPr>
                <w:rFonts w:ascii="宋体;SimSun" w:hAnsi="宋体;SimSun" w:cs="宋体;SimSun"/>
                <w:kern w:val="0"/>
                <w:sz w:val="20"/>
                <w:szCs w:val="20"/>
              </w:rPr>
              <w:t>指标</w:t>
            </w:r>
            <w:r>
              <w:rPr>
                <w:rFonts w:cs="宋体;SimSun" w:ascii="宋体;SimSun" w:hAnsi="宋体;SimSun"/>
                <w:kern w:val="0"/>
                <w:sz w:val="20"/>
                <w:szCs w:val="20"/>
              </w:rPr>
              <w:t>2:</w:t>
            </w:r>
            <w:r>
              <w:rPr>
                <w:rFonts w:ascii="宋体;SimSun" w:hAnsi="宋体;SimSun" w:cs="宋体;SimSun"/>
                <w:kern w:val="0"/>
                <w:sz w:val="20"/>
                <w:szCs w:val="20"/>
              </w:rPr>
              <w:t>培训完成时间</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kern w:val="0"/>
                <w:sz w:val="20"/>
                <w:szCs w:val="20"/>
              </w:rPr>
            </w:pPr>
            <w:r>
              <w:rPr>
                <w:rFonts w:cs="宋体;SimSun" w:ascii="宋体;SimSun" w:hAnsi="宋体;SimSun"/>
                <w:kern w:val="0"/>
                <w:sz w:val="20"/>
                <w:szCs w:val="20"/>
              </w:rPr>
              <w:t>2017</w:t>
            </w:r>
            <w:r>
              <w:rPr>
                <w:rFonts w:ascii="宋体;SimSun" w:hAnsi="宋体;SimSun" w:cs="宋体;SimSun"/>
                <w:kern w:val="0"/>
                <w:sz w:val="20"/>
                <w:szCs w:val="20"/>
              </w:rPr>
              <w:t>年</w:t>
            </w:r>
            <w:r>
              <w:rPr>
                <w:rFonts w:cs="宋体;SimSun" w:ascii="宋体;SimSun" w:hAnsi="宋体;SimSun"/>
                <w:kern w:val="0"/>
                <w:sz w:val="20"/>
                <w:szCs w:val="20"/>
              </w:rPr>
              <w:t>12</w:t>
            </w:r>
            <w:r>
              <w:rPr>
                <w:rFonts w:ascii="宋体;SimSun" w:hAnsi="宋体;SimSun" w:cs="宋体;SimSun"/>
                <w:kern w:val="0"/>
                <w:sz w:val="20"/>
                <w:szCs w:val="20"/>
              </w:rPr>
              <w:t>月底</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kern w:val="0"/>
                <w:sz w:val="20"/>
                <w:szCs w:val="20"/>
              </w:rPr>
            </w:pPr>
            <w:r>
              <w:rPr>
                <w:rFonts w:ascii="宋体;SimSun" w:hAnsi="宋体;SimSun" w:cs="宋体;SimSun"/>
                <w:kern w:val="0"/>
                <w:sz w:val="20"/>
                <w:szCs w:val="20"/>
              </w:rPr>
              <w:t>项目培训计划</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kern w:val="0"/>
                <w:sz w:val="20"/>
                <w:szCs w:val="20"/>
              </w:rPr>
            </w:pPr>
            <w:r>
              <w:rPr>
                <w:rFonts w:cs="宋体;SimSun" w:ascii="宋体;SimSun" w:hAnsi="宋体;SimSun"/>
                <w:kern w:val="0"/>
                <w:sz w:val="20"/>
                <w:szCs w:val="20"/>
              </w:rPr>
            </w:r>
          </w:p>
        </w:tc>
        <w:tc>
          <w:tcPr>
            <w:tcW w:w="1204" w:type="dxa"/>
            <w:gridSpan w:val="2"/>
            <w:vMerge w:val="restart"/>
            <w:tcBorders>
              <w:left w:val="single" w:sz="4" w:space="0" w:color="000000"/>
              <w:bottom w:val="single" w:sz="4" w:space="0" w:color="000000"/>
            </w:tcBorders>
            <w:vAlign w:val="center"/>
          </w:tcPr>
          <w:p>
            <w:pPr>
              <w:pStyle w:val="Normal"/>
              <w:jc w:val="center"/>
              <w:rPr>
                <w:rFonts w:ascii="宋体;SimSun" w:hAnsi="宋体;SimSun" w:cs="宋体;SimSun"/>
                <w:kern w:val="0"/>
                <w:sz w:val="20"/>
                <w:szCs w:val="20"/>
              </w:rPr>
            </w:pPr>
            <w:r>
              <w:rPr>
                <w:rFonts w:ascii="宋体;SimSun" w:hAnsi="宋体;SimSun" w:cs="宋体;SimSun"/>
                <w:kern w:val="0"/>
                <w:sz w:val="20"/>
                <w:szCs w:val="20"/>
              </w:rPr>
              <w:t>成本指标</w:t>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1:</w:t>
            </w:r>
            <w:r>
              <w:rPr>
                <w:rFonts w:ascii="宋体;SimSun" w:hAnsi="宋体;SimSun" w:cs="宋体;SimSun"/>
                <w:color w:val="000000"/>
                <w:kern w:val="0"/>
                <w:sz w:val="20"/>
                <w:szCs w:val="20"/>
              </w:rPr>
              <w:t>所耗试剂、对照品、实验耗材</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cs="宋体;SimSun" w:ascii="宋体;SimSun" w:hAnsi="宋体;SimSun"/>
                <w:color w:val="000000"/>
                <w:kern w:val="0"/>
                <w:sz w:val="20"/>
                <w:szCs w:val="20"/>
              </w:rPr>
              <w:t>≥</w:t>
            </w:r>
            <w:r>
              <w:rPr>
                <w:rFonts w:cs="宋体;SimSun" w:ascii="宋体;SimSun" w:hAnsi="宋体;SimSun"/>
                <w:color w:val="000000"/>
                <w:kern w:val="0"/>
                <w:sz w:val="20"/>
                <w:szCs w:val="20"/>
              </w:rPr>
              <w:t>1000</w:t>
            </w:r>
            <w:r>
              <w:rPr>
                <w:rFonts w:ascii="宋体;SimSun" w:hAnsi="宋体;SimSun" w:cs="宋体;SimSun"/>
                <w:color w:val="000000"/>
                <w:kern w:val="0"/>
                <w:sz w:val="20"/>
                <w:szCs w:val="20"/>
              </w:rPr>
              <w:t>元</w:t>
            </w:r>
            <w:r>
              <w:rPr>
                <w:rFonts w:cs="宋体;SimSun" w:ascii="宋体;SimSun" w:hAnsi="宋体;SimSun"/>
                <w:color w:val="000000"/>
                <w:kern w:val="0"/>
                <w:sz w:val="20"/>
                <w:szCs w:val="20"/>
              </w:rPr>
              <w:t>/</w:t>
            </w:r>
            <w:r>
              <w:rPr>
                <w:rFonts w:ascii="宋体;SimSun" w:hAnsi="宋体;SimSun" w:cs="宋体;SimSun"/>
                <w:color w:val="000000"/>
                <w:kern w:val="0"/>
                <w:sz w:val="20"/>
                <w:szCs w:val="20"/>
              </w:rPr>
              <w:t>批</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检验项目收费依据：发改价格</w:t>
            </w:r>
            <w:r>
              <w:rPr>
                <w:rFonts w:cs="宋体;SimSun" w:ascii="宋体;SimSun" w:hAnsi="宋体;SimSun"/>
                <w:color w:val="000000"/>
                <w:kern w:val="0"/>
                <w:sz w:val="20"/>
                <w:szCs w:val="20"/>
              </w:rPr>
              <w:t>[2003]213</w:t>
            </w:r>
            <w:r>
              <w:rPr>
                <w:rFonts w:ascii="宋体;SimSun" w:hAnsi="宋体;SimSun" w:cs="宋体;SimSun"/>
                <w:color w:val="000000"/>
                <w:kern w:val="0"/>
                <w:sz w:val="20"/>
                <w:szCs w:val="20"/>
              </w:rPr>
              <w:t>号</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204" w:type="dxa"/>
            <w:gridSpan w:val="2"/>
            <w:vMerge w:val="continue"/>
            <w:tcBorders>
              <w:left w:val="single" w:sz="4" w:space="0" w:color="000000"/>
              <w:bottom w:val="single" w:sz="4" w:space="0" w:color="000000"/>
            </w:tcBorders>
            <w:vAlign w:val="center"/>
          </w:tcPr>
          <w:p>
            <w:pPr>
              <w:pStyle w:val="Normal"/>
              <w:snapToGrid w:val="false"/>
              <w:jc w:val="left"/>
              <w:rPr>
                <w:rFonts w:ascii="宋体;SimSun" w:hAnsi="宋体;SimSun" w:cs="宋体;SimSun"/>
                <w:kern w:val="0"/>
                <w:sz w:val="20"/>
                <w:szCs w:val="20"/>
              </w:rPr>
            </w:pPr>
            <w:r>
              <w:rPr>
                <w:rFonts w:cs="宋体;SimSun" w:ascii="宋体;SimSun" w:hAnsi="宋体;SimSun"/>
                <w:kern w:val="0"/>
                <w:sz w:val="20"/>
                <w:szCs w:val="20"/>
              </w:rPr>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2:</w:t>
            </w:r>
            <w:r>
              <w:rPr>
                <w:rFonts w:ascii="宋体;SimSun" w:hAnsi="宋体;SimSun" w:cs="宋体;SimSun"/>
                <w:color w:val="000000"/>
                <w:kern w:val="0"/>
                <w:sz w:val="20"/>
                <w:szCs w:val="20"/>
              </w:rPr>
              <w:t>检验耗用水、电费</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cs="宋体;SimSun" w:ascii="宋体;SimSun" w:hAnsi="宋体;SimSun"/>
                <w:color w:val="000000"/>
                <w:kern w:val="0"/>
                <w:sz w:val="20"/>
                <w:szCs w:val="20"/>
              </w:rPr>
              <w:t>≥</w:t>
            </w:r>
            <w:r>
              <w:rPr>
                <w:rFonts w:cs="宋体;SimSun" w:ascii="宋体;SimSun" w:hAnsi="宋体;SimSun"/>
                <w:color w:val="000000"/>
                <w:kern w:val="0"/>
                <w:sz w:val="20"/>
                <w:szCs w:val="20"/>
              </w:rPr>
              <w:t>150</w:t>
            </w:r>
            <w:r>
              <w:rPr>
                <w:rFonts w:ascii="宋体;SimSun" w:hAnsi="宋体;SimSun" w:cs="宋体;SimSun"/>
                <w:color w:val="000000"/>
                <w:kern w:val="0"/>
                <w:sz w:val="20"/>
                <w:szCs w:val="20"/>
              </w:rPr>
              <w:t>元</w:t>
            </w:r>
            <w:r>
              <w:rPr>
                <w:rFonts w:cs="宋体;SimSun" w:ascii="宋体;SimSun" w:hAnsi="宋体;SimSun"/>
                <w:color w:val="000000"/>
                <w:kern w:val="0"/>
                <w:sz w:val="20"/>
                <w:szCs w:val="20"/>
              </w:rPr>
              <w:t>/</w:t>
            </w:r>
            <w:r>
              <w:rPr>
                <w:rFonts w:ascii="宋体;SimSun" w:hAnsi="宋体;SimSun" w:cs="宋体;SimSun"/>
                <w:color w:val="000000"/>
                <w:kern w:val="0"/>
                <w:sz w:val="20"/>
                <w:szCs w:val="20"/>
              </w:rPr>
              <w:t>批</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检验项目收费依据：发改价格</w:t>
            </w:r>
            <w:r>
              <w:rPr>
                <w:rFonts w:cs="宋体;SimSun" w:ascii="宋体;SimSun" w:hAnsi="宋体;SimSun"/>
                <w:color w:val="000000"/>
                <w:kern w:val="0"/>
                <w:sz w:val="20"/>
                <w:szCs w:val="20"/>
              </w:rPr>
              <w:t>[2003]213</w:t>
            </w:r>
            <w:r>
              <w:rPr>
                <w:rFonts w:ascii="宋体;SimSun" w:hAnsi="宋体;SimSun" w:cs="宋体;SimSun"/>
                <w:color w:val="000000"/>
                <w:kern w:val="0"/>
                <w:sz w:val="20"/>
                <w:szCs w:val="20"/>
              </w:rPr>
              <w:t>号</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204" w:type="dxa"/>
            <w:gridSpan w:val="2"/>
            <w:vMerge w:val="continue"/>
            <w:tcBorders>
              <w:left w:val="single" w:sz="4" w:space="0" w:color="000000"/>
              <w:bottom w:val="single" w:sz="4" w:space="0" w:color="000000"/>
            </w:tcBorders>
            <w:vAlign w:val="center"/>
          </w:tcPr>
          <w:p>
            <w:pPr>
              <w:pStyle w:val="Normal"/>
              <w:snapToGrid w:val="false"/>
              <w:jc w:val="left"/>
              <w:rPr>
                <w:rFonts w:ascii="宋体;SimSun" w:hAnsi="宋体;SimSun" w:cs="宋体;SimSun"/>
                <w:kern w:val="0"/>
                <w:sz w:val="20"/>
                <w:szCs w:val="20"/>
              </w:rPr>
            </w:pPr>
            <w:r>
              <w:rPr>
                <w:rFonts w:cs="宋体;SimSun" w:ascii="宋体;SimSun" w:hAnsi="宋体;SimSun"/>
                <w:kern w:val="0"/>
                <w:sz w:val="20"/>
                <w:szCs w:val="20"/>
              </w:rPr>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3:</w:t>
            </w:r>
            <w:r>
              <w:rPr>
                <w:rFonts w:ascii="宋体;SimSun" w:hAnsi="宋体;SimSun" w:cs="宋体;SimSun"/>
                <w:color w:val="000000"/>
                <w:kern w:val="0"/>
                <w:sz w:val="20"/>
                <w:szCs w:val="20"/>
              </w:rPr>
              <w:t>检验耗用仪器检定费</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cs="宋体;SimSun" w:ascii="宋体;SimSun" w:hAnsi="宋体;SimSun"/>
                <w:color w:val="000000"/>
                <w:kern w:val="0"/>
                <w:sz w:val="20"/>
                <w:szCs w:val="20"/>
              </w:rPr>
              <w:t>≥</w:t>
            </w:r>
            <w:r>
              <w:rPr>
                <w:rFonts w:cs="宋体;SimSun" w:ascii="宋体;SimSun" w:hAnsi="宋体;SimSun"/>
                <w:color w:val="000000"/>
                <w:kern w:val="0"/>
                <w:sz w:val="20"/>
                <w:szCs w:val="20"/>
              </w:rPr>
              <w:t>100</w:t>
            </w:r>
            <w:r>
              <w:rPr>
                <w:rFonts w:ascii="宋体;SimSun" w:hAnsi="宋体;SimSun" w:cs="宋体;SimSun"/>
                <w:color w:val="000000"/>
                <w:kern w:val="0"/>
                <w:sz w:val="20"/>
                <w:szCs w:val="20"/>
              </w:rPr>
              <w:t>元</w:t>
            </w:r>
            <w:r>
              <w:rPr>
                <w:rFonts w:cs="宋体;SimSun" w:ascii="宋体;SimSun" w:hAnsi="宋体;SimSun"/>
                <w:color w:val="000000"/>
                <w:kern w:val="0"/>
                <w:sz w:val="20"/>
                <w:szCs w:val="20"/>
              </w:rPr>
              <w:t>/</w:t>
            </w:r>
            <w:r>
              <w:rPr>
                <w:rFonts w:ascii="宋体;SimSun" w:hAnsi="宋体;SimSun" w:cs="宋体;SimSun"/>
                <w:color w:val="000000"/>
                <w:kern w:val="0"/>
                <w:sz w:val="20"/>
                <w:szCs w:val="20"/>
              </w:rPr>
              <w:t>批</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检验项目收费依据：发改价格</w:t>
            </w:r>
            <w:r>
              <w:rPr>
                <w:rFonts w:cs="宋体;SimSun" w:ascii="宋体;SimSun" w:hAnsi="宋体;SimSun"/>
                <w:color w:val="000000"/>
                <w:kern w:val="0"/>
                <w:sz w:val="20"/>
                <w:szCs w:val="20"/>
              </w:rPr>
              <w:t>[2003]213</w:t>
            </w:r>
            <w:r>
              <w:rPr>
                <w:rFonts w:ascii="宋体;SimSun" w:hAnsi="宋体;SimSun" w:cs="宋体;SimSun"/>
                <w:color w:val="000000"/>
                <w:kern w:val="0"/>
                <w:sz w:val="20"/>
                <w:szCs w:val="20"/>
              </w:rPr>
              <w:t>号</w:t>
            </w:r>
          </w:p>
        </w:tc>
      </w:tr>
      <w:tr>
        <w:trPr>
          <w:trHeight w:val="522" w:hRule="atLeast"/>
        </w:trPr>
        <w:tc>
          <w:tcPr>
            <w:tcW w:w="1196" w:type="dxa"/>
            <w:vMerge w:val="restart"/>
            <w:tcBorders>
              <w:left w:val="single" w:sz="4" w:space="0" w:color="000000"/>
              <w:bottom w:val="single" w:sz="4" w:space="0" w:color="000000"/>
            </w:tcBorders>
            <w:textDirection w:val="tbRl"/>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效益指标</w:t>
            </w:r>
          </w:p>
        </w:tc>
        <w:tc>
          <w:tcPr>
            <w:tcW w:w="1204" w:type="dxa"/>
            <w:gridSpan w:val="2"/>
            <w:vMerge w:val="restart"/>
            <w:tcBorders>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社会效益指标</w:t>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1</w:t>
            </w:r>
            <w:r>
              <w:rPr>
                <w:rFonts w:ascii="宋体;SimSun" w:hAnsi="宋体;SimSun" w:cs="宋体;SimSun"/>
                <w:color w:val="000000"/>
                <w:kern w:val="0"/>
                <w:sz w:val="20"/>
                <w:szCs w:val="20"/>
              </w:rPr>
              <w:t>：食品检验人员能力</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逐年提高</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《曲靖市食品药品安全“十三五”规划》</w:t>
            </w:r>
            <w:r>
              <w:rPr>
                <w:rFonts w:cs="宋体;SimSun" w:ascii="宋体;SimSun" w:hAnsi="宋体;SimSun"/>
                <w:color w:val="000000"/>
                <w:kern w:val="0"/>
                <w:sz w:val="20"/>
                <w:szCs w:val="20"/>
              </w:rPr>
              <w:t>(</w:t>
            </w:r>
            <w:r>
              <w:rPr>
                <w:rFonts w:ascii="宋体;SimSun" w:hAnsi="宋体;SimSun" w:cs="宋体;SimSun"/>
                <w:color w:val="000000"/>
                <w:kern w:val="0"/>
                <w:sz w:val="20"/>
                <w:szCs w:val="20"/>
              </w:rPr>
              <w:t>曲食安委办〔</w:t>
            </w:r>
            <w:r>
              <w:rPr>
                <w:rFonts w:cs="宋体;SimSun" w:ascii="宋体;SimSun" w:hAnsi="宋体;SimSun"/>
                <w:color w:val="000000"/>
                <w:kern w:val="0"/>
                <w:sz w:val="20"/>
                <w:szCs w:val="20"/>
              </w:rPr>
              <w:t>2017</w:t>
            </w:r>
            <w:r>
              <w:rPr>
                <w:rFonts w:ascii="宋体;SimSun" w:hAnsi="宋体;SimSun" w:cs="宋体;SimSun"/>
                <w:color w:val="000000"/>
                <w:kern w:val="0"/>
                <w:sz w:val="20"/>
                <w:szCs w:val="20"/>
              </w:rPr>
              <w:t>〕</w:t>
            </w:r>
            <w:r>
              <w:rPr>
                <w:rFonts w:cs="宋体;SimSun" w:ascii="宋体;SimSun" w:hAnsi="宋体;SimSun"/>
                <w:color w:val="000000"/>
                <w:kern w:val="0"/>
                <w:sz w:val="20"/>
                <w:szCs w:val="20"/>
              </w:rPr>
              <w:t xml:space="preserve">27 </w:t>
            </w:r>
            <w:r>
              <w:rPr>
                <w:rFonts w:ascii="宋体;SimSun" w:hAnsi="宋体;SimSun" w:cs="宋体;SimSun"/>
                <w:color w:val="000000"/>
                <w:kern w:val="0"/>
                <w:sz w:val="20"/>
                <w:szCs w:val="20"/>
              </w:rPr>
              <w:t>号</w:t>
            </w:r>
            <w:r>
              <w:rPr>
                <w:rFonts w:cs="宋体;SimSun" w:ascii="宋体;SimSun" w:hAnsi="宋体;SimSun"/>
                <w:color w:val="000000"/>
                <w:kern w:val="0"/>
                <w:sz w:val="20"/>
                <w:szCs w:val="20"/>
              </w:rPr>
              <w:t>)</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204" w:type="dxa"/>
            <w:gridSpan w:val="2"/>
            <w:vMerge w:val="continue"/>
            <w:tcBorders>
              <w:left w:val="single" w:sz="4" w:space="0" w:color="000000"/>
              <w:bottom w:val="single" w:sz="4" w:space="0" w:color="000000"/>
            </w:tcBorders>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2</w:t>
            </w:r>
            <w:r>
              <w:rPr>
                <w:rFonts w:ascii="宋体;SimSun" w:hAnsi="宋体;SimSun" w:cs="宋体;SimSun"/>
                <w:color w:val="000000"/>
                <w:kern w:val="0"/>
                <w:sz w:val="20"/>
                <w:szCs w:val="20"/>
              </w:rPr>
              <w:t>：公众对创建工作的知晓率</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cs="宋体;SimSun" w:ascii="宋体;SimSun" w:hAnsi="宋体;SimSun"/>
                <w:color w:val="000000"/>
                <w:kern w:val="0"/>
                <w:sz w:val="20"/>
                <w:szCs w:val="20"/>
              </w:rPr>
              <w:t>≥</w:t>
            </w:r>
            <w:r>
              <w:rPr>
                <w:rFonts w:cs="宋体;SimSun" w:ascii="宋体;SimSun" w:hAnsi="宋体;SimSun"/>
                <w:color w:val="000000"/>
                <w:kern w:val="0"/>
                <w:sz w:val="20"/>
                <w:szCs w:val="20"/>
              </w:rPr>
              <w:t>80%</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曲靖市国家食品安全城市创建行动实施方案</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204" w:type="dxa"/>
            <w:gridSpan w:val="2"/>
            <w:vMerge w:val="continue"/>
            <w:tcBorders>
              <w:left w:val="single" w:sz="4" w:space="0" w:color="000000"/>
              <w:bottom w:val="single" w:sz="4" w:space="0" w:color="000000"/>
            </w:tcBorders>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3</w:t>
            </w:r>
            <w:r>
              <w:rPr>
                <w:rFonts w:ascii="宋体;SimSun" w:hAnsi="宋体;SimSun" w:cs="宋体;SimSun"/>
                <w:color w:val="000000"/>
                <w:kern w:val="0"/>
                <w:sz w:val="20"/>
                <w:szCs w:val="20"/>
              </w:rPr>
              <w:t>：食品安全总体状况</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持续稳定</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曲靖市国家食品安全城市创建行动实施方案</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204" w:type="dxa"/>
            <w:gridSpan w:val="2"/>
            <w:vMerge w:val="continue"/>
            <w:tcBorders>
              <w:left w:val="single" w:sz="4" w:space="0" w:color="000000"/>
              <w:bottom w:val="single" w:sz="4" w:space="0" w:color="000000"/>
            </w:tcBorders>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4</w:t>
            </w:r>
            <w:r>
              <w:rPr>
                <w:rFonts w:ascii="宋体;SimSun" w:hAnsi="宋体;SimSun" w:cs="宋体;SimSun"/>
                <w:color w:val="000000"/>
                <w:kern w:val="0"/>
                <w:sz w:val="20"/>
                <w:szCs w:val="20"/>
              </w:rPr>
              <w:t>：社会公众对食品安全的科普知识知晓率</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cs="宋体;SimSun" w:ascii="宋体;SimSun" w:hAnsi="宋体;SimSun"/>
                <w:color w:val="000000"/>
                <w:kern w:val="0"/>
                <w:sz w:val="20"/>
                <w:szCs w:val="20"/>
              </w:rPr>
              <w:t>≥</w:t>
            </w:r>
            <w:r>
              <w:rPr>
                <w:rFonts w:cs="宋体;SimSun" w:ascii="宋体;SimSun" w:hAnsi="宋体;SimSun"/>
                <w:color w:val="000000"/>
                <w:kern w:val="0"/>
                <w:sz w:val="20"/>
                <w:szCs w:val="20"/>
              </w:rPr>
              <w:t>90%</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《曲靖市食品药品安全“十三五”规划》</w:t>
            </w:r>
            <w:r>
              <w:rPr>
                <w:rFonts w:cs="宋体;SimSun" w:ascii="宋体;SimSun" w:hAnsi="宋体;SimSun"/>
                <w:color w:val="000000"/>
                <w:kern w:val="0"/>
                <w:sz w:val="20"/>
                <w:szCs w:val="20"/>
              </w:rPr>
              <w:t>(</w:t>
            </w:r>
            <w:r>
              <w:rPr>
                <w:rFonts w:ascii="宋体;SimSun" w:hAnsi="宋体;SimSun" w:cs="宋体;SimSun"/>
                <w:color w:val="000000"/>
                <w:kern w:val="0"/>
                <w:sz w:val="20"/>
                <w:szCs w:val="20"/>
              </w:rPr>
              <w:t>曲食安委办〔</w:t>
            </w:r>
            <w:r>
              <w:rPr>
                <w:rFonts w:cs="宋体;SimSun" w:ascii="宋体;SimSun" w:hAnsi="宋体;SimSun"/>
                <w:color w:val="000000"/>
                <w:kern w:val="0"/>
                <w:sz w:val="20"/>
                <w:szCs w:val="20"/>
              </w:rPr>
              <w:t>2017</w:t>
            </w:r>
            <w:r>
              <w:rPr>
                <w:rFonts w:ascii="宋体;SimSun" w:hAnsi="宋体;SimSun" w:cs="宋体;SimSun"/>
                <w:color w:val="000000"/>
                <w:kern w:val="0"/>
                <w:sz w:val="20"/>
                <w:szCs w:val="20"/>
              </w:rPr>
              <w:t>〕</w:t>
            </w:r>
            <w:r>
              <w:rPr>
                <w:rFonts w:cs="宋体;SimSun" w:ascii="宋体;SimSun" w:hAnsi="宋体;SimSun"/>
                <w:color w:val="000000"/>
                <w:kern w:val="0"/>
                <w:sz w:val="20"/>
                <w:szCs w:val="20"/>
              </w:rPr>
              <w:t xml:space="preserve">27 </w:t>
            </w:r>
            <w:r>
              <w:rPr>
                <w:rFonts w:ascii="宋体;SimSun" w:hAnsi="宋体;SimSun" w:cs="宋体;SimSun"/>
                <w:color w:val="000000"/>
                <w:kern w:val="0"/>
                <w:sz w:val="20"/>
                <w:szCs w:val="20"/>
              </w:rPr>
              <w:t>号</w:t>
            </w:r>
            <w:r>
              <w:rPr>
                <w:rFonts w:cs="宋体;SimSun" w:ascii="宋体;SimSun" w:hAnsi="宋体;SimSun"/>
                <w:color w:val="000000"/>
                <w:kern w:val="0"/>
                <w:sz w:val="20"/>
                <w:szCs w:val="20"/>
              </w:rPr>
              <w:t>)</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204" w:type="dxa"/>
            <w:gridSpan w:val="2"/>
            <w:vMerge w:val="restart"/>
            <w:tcBorders>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可持续影响指标</w:t>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1</w:t>
            </w:r>
            <w:r>
              <w:rPr>
                <w:rFonts w:ascii="宋体;SimSun" w:hAnsi="宋体;SimSun" w:cs="宋体;SimSun"/>
                <w:color w:val="000000"/>
                <w:kern w:val="0"/>
                <w:sz w:val="20"/>
                <w:szCs w:val="20"/>
              </w:rPr>
              <w:t>：检验人员检验水平</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逐年提高</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《曲靖市食品药品安全“十三五”规划》</w:t>
            </w:r>
            <w:r>
              <w:rPr>
                <w:rFonts w:cs="宋体;SimSun" w:ascii="宋体;SimSun" w:hAnsi="宋体;SimSun"/>
                <w:color w:val="000000"/>
                <w:kern w:val="0"/>
                <w:sz w:val="20"/>
                <w:szCs w:val="20"/>
              </w:rPr>
              <w:t>(</w:t>
            </w:r>
            <w:r>
              <w:rPr>
                <w:rFonts w:ascii="宋体;SimSun" w:hAnsi="宋体;SimSun" w:cs="宋体;SimSun"/>
                <w:color w:val="000000"/>
                <w:kern w:val="0"/>
                <w:sz w:val="20"/>
                <w:szCs w:val="20"/>
              </w:rPr>
              <w:t>曲食安委办〔</w:t>
            </w:r>
            <w:r>
              <w:rPr>
                <w:rFonts w:cs="宋体;SimSun" w:ascii="宋体;SimSun" w:hAnsi="宋体;SimSun"/>
                <w:color w:val="000000"/>
                <w:kern w:val="0"/>
                <w:sz w:val="20"/>
                <w:szCs w:val="20"/>
              </w:rPr>
              <w:t>2017</w:t>
            </w:r>
            <w:r>
              <w:rPr>
                <w:rFonts w:ascii="宋体;SimSun" w:hAnsi="宋体;SimSun" w:cs="宋体;SimSun"/>
                <w:color w:val="000000"/>
                <w:kern w:val="0"/>
                <w:sz w:val="20"/>
                <w:szCs w:val="20"/>
              </w:rPr>
              <w:t>〕</w:t>
            </w:r>
            <w:r>
              <w:rPr>
                <w:rFonts w:cs="宋体;SimSun" w:ascii="宋体;SimSun" w:hAnsi="宋体;SimSun"/>
                <w:color w:val="000000"/>
                <w:kern w:val="0"/>
                <w:sz w:val="20"/>
                <w:szCs w:val="20"/>
              </w:rPr>
              <w:t xml:space="preserve">27 </w:t>
            </w:r>
            <w:r>
              <w:rPr>
                <w:rFonts w:ascii="宋体;SimSun" w:hAnsi="宋体;SimSun" w:cs="宋体;SimSun"/>
                <w:color w:val="000000"/>
                <w:kern w:val="0"/>
                <w:sz w:val="20"/>
                <w:szCs w:val="20"/>
              </w:rPr>
              <w:t>号</w:t>
            </w:r>
            <w:r>
              <w:rPr>
                <w:rFonts w:cs="宋体;SimSun" w:ascii="宋体;SimSun" w:hAnsi="宋体;SimSun"/>
                <w:color w:val="000000"/>
                <w:kern w:val="0"/>
                <w:sz w:val="20"/>
                <w:szCs w:val="20"/>
              </w:rPr>
              <w:t>)</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204" w:type="dxa"/>
            <w:gridSpan w:val="2"/>
            <w:vMerge w:val="continue"/>
            <w:tcBorders>
              <w:left w:val="single" w:sz="4" w:space="0" w:color="000000"/>
              <w:bottom w:val="single" w:sz="4" w:space="0" w:color="000000"/>
            </w:tcBorders>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2</w:t>
            </w:r>
            <w:r>
              <w:rPr>
                <w:rFonts w:ascii="宋体;SimSun" w:hAnsi="宋体;SimSun" w:cs="宋体;SimSun"/>
                <w:color w:val="000000"/>
                <w:kern w:val="0"/>
                <w:sz w:val="20"/>
                <w:szCs w:val="20"/>
              </w:rPr>
              <w:t>：食品安全总体状况</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逐年提高</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《曲靖市食品药品安全“十三五”规划》</w:t>
            </w:r>
            <w:r>
              <w:rPr>
                <w:rFonts w:cs="宋体;SimSun" w:ascii="宋体;SimSun" w:hAnsi="宋体;SimSun"/>
                <w:color w:val="000000"/>
                <w:kern w:val="0"/>
                <w:sz w:val="20"/>
                <w:szCs w:val="20"/>
              </w:rPr>
              <w:t>(</w:t>
            </w:r>
            <w:r>
              <w:rPr>
                <w:rFonts w:ascii="宋体;SimSun" w:hAnsi="宋体;SimSun" w:cs="宋体;SimSun"/>
                <w:color w:val="000000"/>
                <w:kern w:val="0"/>
                <w:sz w:val="20"/>
                <w:szCs w:val="20"/>
              </w:rPr>
              <w:t>曲食安委办〔</w:t>
            </w:r>
            <w:r>
              <w:rPr>
                <w:rFonts w:cs="宋体;SimSun" w:ascii="宋体;SimSun" w:hAnsi="宋体;SimSun"/>
                <w:color w:val="000000"/>
                <w:kern w:val="0"/>
                <w:sz w:val="20"/>
                <w:szCs w:val="20"/>
              </w:rPr>
              <w:t>2017</w:t>
            </w:r>
            <w:r>
              <w:rPr>
                <w:rFonts w:ascii="宋体;SimSun" w:hAnsi="宋体;SimSun" w:cs="宋体;SimSun"/>
                <w:color w:val="000000"/>
                <w:kern w:val="0"/>
                <w:sz w:val="20"/>
                <w:szCs w:val="20"/>
              </w:rPr>
              <w:t>〕</w:t>
            </w:r>
            <w:r>
              <w:rPr>
                <w:rFonts w:cs="宋体;SimSun" w:ascii="宋体;SimSun" w:hAnsi="宋体;SimSun"/>
                <w:color w:val="000000"/>
                <w:kern w:val="0"/>
                <w:sz w:val="20"/>
                <w:szCs w:val="20"/>
              </w:rPr>
              <w:t xml:space="preserve">27 </w:t>
            </w:r>
            <w:r>
              <w:rPr>
                <w:rFonts w:ascii="宋体;SimSun" w:hAnsi="宋体;SimSun" w:cs="宋体;SimSun"/>
                <w:color w:val="000000"/>
                <w:kern w:val="0"/>
                <w:sz w:val="20"/>
                <w:szCs w:val="20"/>
              </w:rPr>
              <w:t>号</w:t>
            </w:r>
            <w:r>
              <w:rPr>
                <w:rFonts w:cs="宋体;SimSun" w:ascii="宋体;SimSun" w:hAnsi="宋体;SimSun"/>
                <w:color w:val="000000"/>
                <w:kern w:val="0"/>
                <w:sz w:val="20"/>
                <w:szCs w:val="20"/>
              </w:rPr>
              <w:t>)</w:t>
            </w:r>
          </w:p>
        </w:tc>
      </w:tr>
      <w:tr>
        <w:trPr>
          <w:trHeight w:val="522" w:hRule="atLeast"/>
        </w:trPr>
        <w:tc>
          <w:tcPr>
            <w:tcW w:w="1196" w:type="dxa"/>
            <w:vMerge w:val="continue"/>
            <w:tcBorders>
              <w:left w:val="single" w:sz="4" w:space="0" w:color="000000"/>
              <w:bottom w:val="single" w:sz="4" w:space="0" w:color="000000"/>
            </w:tcBorders>
            <w:textDirection w:val="tbRl"/>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204" w:type="dxa"/>
            <w:gridSpan w:val="2"/>
            <w:vMerge w:val="continue"/>
            <w:tcBorders>
              <w:left w:val="single" w:sz="4" w:space="0" w:color="000000"/>
              <w:bottom w:val="single" w:sz="4" w:space="0" w:color="000000"/>
            </w:tcBorders>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3</w:t>
            </w:r>
            <w:r>
              <w:rPr>
                <w:rFonts w:ascii="宋体;SimSun" w:hAnsi="宋体;SimSun" w:cs="宋体;SimSun"/>
                <w:color w:val="000000"/>
                <w:kern w:val="0"/>
                <w:sz w:val="20"/>
                <w:szCs w:val="20"/>
              </w:rPr>
              <w:t>：食品安全科普宣传体系完善统一</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长期</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《曲靖市食品药品安全“十三五”规划》</w:t>
            </w:r>
            <w:r>
              <w:rPr>
                <w:rFonts w:cs="宋体;SimSun" w:ascii="宋体;SimSun" w:hAnsi="宋体;SimSun"/>
                <w:color w:val="000000"/>
                <w:kern w:val="0"/>
                <w:sz w:val="20"/>
                <w:szCs w:val="20"/>
              </w:rPr>
              <w:t>(</w:t>
            </w:r>
            <w:r>
              <w:rPr>
                <w:rFonts w:ascii="宋体;SimSun" w:hAnsi="宋体;SimSun" w:cs="宋体;SimSun"/>
                <w:color w:val="000000"/>
                <w:kern w:val="0"/>
                <w:sz w:val="20"/>
                <w:szCs w:val="20"/>
              </w:rPr>
              <w:t>曲食安委办〔</w:t>
            </w:r>
            <w:r>
              <w:rPr>
                <w:rFonts w:cs="宋体;SimSun" w:ascii="宋体;SimSun" w:hAnsi="宋体;SimSun"/>
                <w:color w:val="000000"/>
                <w:kern w:val="0"/>
                <w:sz w:val="20"/>
                <w:szCs w:val="20"/>
              </w:rPr>
              <w:t>2017</w:t>
            </w:r>
            <w:r>
              <w:rPr>
                <w:rFonts w:ascii="宋体;SimSun" w:hAnsi="宋体;SimSun" w:cs="宋体;SimSun"/>
                <w:color w:val="000000"/>
                <w:kern w:val="0"/>
                <w:sz w:val="20"/>
                <w:szCs w:val="20"/>
              </w:rPr>
              <w:t>〕</w:t>
            </w:r>
            <w:r>
              <w:rPr>
                <w:rFonts w:cs="宋体;SimSun" w:ascii="宋体;SimSun" w:hAnsi="宋体;SimSun"/>
                <w:color w:val="000000"/>
                <w:kern w:val="0"/>
                <w:sz w:val="20"/>
                <w:szCs w:val="20"/>
              </w:rPr>
              <w:t xml:space="preserve">27 </w:t>
            </w:r>
            <w:r>
              <w:rPr>
                <w:rFonts w:ascii="宋体;SimSun" w:hAnsi="宋体;SimSun" w:cs="宋体;SimSun"/>
                <w:color w:val="000000"/>
                <w:kern w:val="0"/>
                <w:sz w:val="20"/>
                <w:szCs w:val="20"/>
              </w:rPr>
              <w:t>号</w:t>
            </w:r>
            <w:r>
              <w:rPr>
                <w:rFonts w:cs="宋体;SimSun" w:ascii="宋体;SimSun" w:hAnsi="宋体;SimSun"/>
                <w:color w:val="000000"/>
                <w:kern w:val="0"/>
                <w:sz w:val="20"/>
                <w:szCs w:val="20"/>
              </w:rPr>
              <w:t>)</w:t>
            </w:r>
          </w:p>
        </w:tc>
      </w:tr>
      <w:tr>
        <w:trPr>
          <w:trHeight w:val="645" w:hRule="atLeast"/>
        </w:trPr>
        <w:tc>
          <w:tcPr>
            <w:tcW w:w="1196" w:type="dxa"/>
            <w:vMerge w:val="restart"/>
            <w:tcBorders>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满意度指标</w:t>
            </w:r>
          </w:p>
        </w:tc>
        <w:tc>
          <w:tcPr>
            <w:tcW w:w="1204" w:type="dxa"/>
            <w:gridSpan w:val="2"/>
            <w:vMerge w:val="restart"/>
            <w:tcBorders>
              <w:left w:val="single" w:sz="4" w:space="0" w:color="000000"/>
              <w:bottom w:val="single" w:sz="4" w:space="0" w:color="000000"/>
            </w:tcBorders>
            <w:vAlign w:val="center"/>
          </w:tcPr>
          <w:p>
            <w:pPr>
              <w:pStyle w:val="Normal"/>
              <w:jc w:val="center"/>
              <w:rPr>
                <w:rFonts w:ascii="宋体;SimSun" w:hAnsi="宋体;SimSun" w:cs="宋体;SimSun"/>
                <w:color w:val="000000"/>
                <w:kern w:val="0"/>
                <w:sz w:val="20"/>
                <w:szCs w:val="20"/>
              </w:rPr>
            </w:pPr>
            <w:r>
              <w:rPr>
                <w:rFonts w:ascii="宋体;SimSun" w:hAnsi="宋体;SimSun" w:cs="宋体;SimSun"/>
                <w:color w:val="000000"/>
                <w:kern w:val="0"/>
                <w:sz w:val="20"/>
                <w:szCs w:val="20"/>
              </w:rPr>
              <w:t>服务对象满意度指标</w:t>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1:</w:t>
            </w:r>
            <w:r>
              <w:rPr>
                <w:rFonts w:ascii="宋体;SimSun" w:hAnsi="宋体;SimSun" w:cs="宋体;SimSun"/>
                <w:color w:val="000000"/>
                <w:kern w:val="0"/>
                <w:sz w:val="20"/>
                <w:szCs w:val="20"/>
              </w:rPr>
              <w:t>公众对食品安全状况满意度达</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cs="宋体;SimSun" w:ascii="宋体;SimSun" w:hAnsi="宋体;SimSun"/>
                <w:color w:val="000000"/>
                <w:kern w:val="0"/>
                <w:sz w:val="20"/>
                <w:szCs w:val="20"/>
              </w:rPr>
              <w:t>≥</w:t>
            </w:r>
            <w:r>
              <w:rPr>
                <w:rFonts w:cs="宋体;SimSun" w:ascii="宋体;SimSun" w:hAnsi="宋体;SimSun"/>
                <w:color w:val="000000"/>
                <w:kern w:val="0"/>
                <w:sz w:val="20"/>
                <w:szCs w:val="20"/>
              </w:rPr>
              <w:t>70%</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《曲靖市食品药品安全“十三五”规划》</w:t>
            </w:r>
            <w:r>
              <w:rPr>
                <w:rFonts w:cs="宋体;SimSun" w:ascii="宋体;SimSun" w:hAnsi="宋体;SimSun"/>
                <w:color w:val="000000"/>
                <w:kern w:val="0"/>
                <w:sz w:val="20"/>
                <w:szCs w:val="20"/>
              </w:rPr>
              <w:t>(</w:t>
            </w:r>
            <w:r>
              <w:rPr>
                <w:rFonts w:ascii="宋体;SimSun" w:hAnsi="宋体;SimSun" w:cs="宋体;SimSun"/>
                <w:color w:val="000000"/>
                <w:kern w:val="0"/>
                <w:sz w:val="20"/>
                <w:szCs w:val="20"/>
              </w:rPr>
              <w:t>曲食安委办〔</w:t>
            </w:r>
            <w:r>
              <w:rPr>
                <w:rFonts w:cs="宋体;SimSun" w:ascii="宋体;SimSun" w:hAnsi="宋体;SimSun"/>
                <w:color w:val="000000"/>
                <w:kern w:val="0"/>
                <w:sz w:val="20"/>
                <w:szCs w:val="20"/>
              </w:rPr>
              <w:t>2017</w:t>
            </w:r>
            <w:r>
              <w:rPr>
                <w:rFonts w:ascii="宋体;SimSun" w:hAnsi="宋体;SimSun" w:cs="宋体;SimSun"/>
                <w:color w:val="000000"/>
                <w:kern w:val="0"/>
                <w:sz w:val="20"/>
                <w:szCs w:val="20"/>
              </w:rPr>
              <w:t>〕</w:t>
            </w:r>
            <w:r>
              <w:rPr>
                <w:rFonts w:cs="宋体;SimSun" w:ascii="宋体;SimSun" w:hAnsi="宋体;SimSun"/>
                <w:color w:val="000000"/>
                <w:kern w:val="0"/>
                <w:sz w:val="20"/>
                <w:szCs w:val="20"/>
              </w:rPr>
              <w:t xml:space="preserve">27 </w:t>
            </w:r>
            <w:r>
              <w:rPr>
                <w:rFonts w:ascii="宋体;SimSun" w:hAnsi="宋体;SimSun" w:cs="宋体;SimSun"/>
                <w:color w:val="000000"/>
                <w:kern w:val="0"/>
                <w:sz w:val="20"/>
                <w:szCs w:val="20"/>
              </w:rPr>
              <w:t>号</w:t>
            </w:r>
            <w:r>
              <w:rPr>
                <w:rFonts w:cs="宋体;SimSun" w:ascii="宋体;SimSun" w:hAnsi="宋体;SimSun"/>
                <w:color w:val="000000"/>
                <w:kern w:val="0"/>
                <w:sz w:val="20"/>
                <w:szCs w:val="20"/>
              </w:rPr>
              <w:t>)</w:t>
            </w:r>
          </w:p>
        </w:tc>
      </w:tr>
      <w:tr>
        <w:trPr>
          <w:trHeight w:val="645" w:hRule="atLeast"/>
        </w:trPr>
        <w:tc>
          <w:tcPr>
            <w:tcW w:w="1196" w:type="dxa"/>
            <w:vMerge w:val="continue"/>
            <w:tcBorders>
              <w:left w:val="single" w:sz="4" w:space="0" w:color="000000"/>
              <w:bottom w:val="single" w:sz="4" w:space="0" w:color="000000"/>
            </w:tcBorders>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204" w:type="dxa"/>
            <w:gridSpan w:val="2"/>
            <w:vMerge w:val="continue"/>
            <w:tcBorders>
              <w:left w:val="single" w:sz="4" w:space="0" w:color="000000"/>
              <w:bottom w:val="single" w:sz="4" w:space="0" w:color="000000"/>
            </w:tcBorders>
            <w:vAlign w:val="center"/>
          </w:tcPr>
          <w:p>
            <w:pPr>
              <w:pStyle w:val="Normal"/>
              <w:snapToGrid w:val="false"/>
              <w:jc w:val="left"/>
              <w:rPr>
                <w:rFonts w:ascii="宋体;SimSun" w:hAnsi="宋体;SimSun" w:cs="宋体;SimSun"/>
                <w:color w:val="000000"/>
                <w:kern w:val="0"/>
                <w:sz w:val="20"/>
                <w:szCs w:val="20"/>
              </w:rPr>
            </w:pPr>
            <w:r>
              <w:rPr>
                <w:rFonts w:cs="宋体;SimSun" w:ascii="宋体;SimSun" w:hAnsi="宋体;SimSun"/>
                <w:color w:val="000000"/>
                <w:kern w:val="0"/>
                <w:sz w:val="20"/>
                <w:szCs w:val="20"/>
              </w:rPr>
            </w:r>
          </w:p>
        </w:tc>
        <w:tc>
          <w:tcPr>
            <w:tcW w:w="1692"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指标</w:t>
            </w:r>
            <w:r>
              <w:rPr>
                <w:rFonts w:cs="宋体;SimSun" w:ascii="宋体;SimSun" w:hAnsi="宋体;SimSun"/>
                <w:color w:val="000000"/>
                <w:kern w:val="0"/>
                <w:sz w:val="20"/>
                <w:szCs w:val="20"/>
              </w:rPr>
              <w:t>2:</w:t>
            </w:r>
            <w:r>
              <w:rPr>
                <w:rFonts w:ascii="宋体;SimSun" w:hAnsi="宋体;SimSun" w:cs="宋体;SimSun"/>
                <w:color w:val="000000"/>
                <w:kern w:val="0"/>
                <w:sz w:val="20"/>
                <w:szCs w:val="20"/>
              </w:rPr>
              <w:t>公众对食品安监管工作满意度达</w:t>
            </w:r>
          </w:p>
        </w:tc>
        <w:tc>
          <w:tcPr>
            <w:tcW w:w="1701" w:type="dxa"/>
            <w:tcBorders>
              <w:left w:val="single" w:sz="4" w:space="0" w:color="000000"/>
              <w:bottom w:val="single" w:sz="4" w:space="0" w:color="000000"/>
            </w:tcBorders>
            <w:vAlign w:val="center"/>
          </w:tcPr>
          <w:p>
            <w:pPr>
              <w:pStyle w:val="Normal"/>
              <w:jc w:val="left"/>
              <w:rPr>
                <w:rFonts w:ascii="宋体;SimSun" w:hAnsi="宋体;SimSun" w:cs="宋体;SimSun"/>
                <w:color w:val="000000"/>
                <w:kern w:val="0"/>
                <w:sz w:val="20"/>
                <w:szCs w:val="20"/>
              </w:rPr>
            </w:pPr>
            <w:r>
              <w:rPr>
                <w:rFonts w:cs="宋体;SimSun" w:ascii="宋体;SimSun" w:hAnsi="宋体;SimSun"/>
                <w:color w:val="000000"/>
                <w:kern w:val="0"/>
                <w:sz w:val="20"/>
                <w:szCs w:val="20"/>
              </w:rPr>
              <w:t>≥</w:t>
            </w:r>
            <w:r>
              <w:rPr>
                <w:rFonts w:cs="宋体;SimSun" w:ascii="宋体;SimSun" w:hAnsi="宋体;SimSun"/>
                <w:color w:val="000000"/>
                <w:kern w:val="0"/>
                <w:sz w:val="20"/>
                <w:szCs w:val="20"/>
              </w:rPr>
              <w:t>70%</w:t>
            </w:r>
          </w:p>
        </w:tc>
        <w:tc>
          <w:tcPr>
            <w:tcW w:w="3049"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left"/>
              <w:rPr>
                <w:rFonts w:ascii="宋体;SimSun" w:hAnsi="宋体;SimSun" w:cs="宋体;SimSun"/>
                <w:color w:val="000000"/>
                <w:kern w:val="0"/>
                <w:sz w:val="20"/>
                <w:szCs w:val="20"/>
              </w:rPr>
            </w:pPr>
            <w:r>
              <w:rPr>
                <w:rFonts w:ascii="宋体;SimSun" w:hAnsi="宋体;SimSun" w:cs="宋体;SimSun"/>
                <w:color w:val="000000"/>
                <w:kern w:val="0"/>
                <w:sz w:val="20"/>
                <w:szCs w:val="20"/>
              </w:rPr>
              <w:t>《曲靖市食品药品安全“十三五”规划》</w:t>
            </w:r>
            <w:r>
              <w:rPr>
                <w:rFonts w:cs="宋体;SimSun" w:ascii="宋体;SimSun" w:hAnsi="宋体;SimSun"/>
                <w:color w:val="000000"/>
                <w:kern w:val="0"/>
                <w:sz w:val="20"/>
                <w:szCs w:val="20"/>
              </w:rPr>
              <w:t>(</w:t>
            </w:r>
            <w:r>
              <w:rPr>
                <w:rFonts w:ascii="宋体;SimSun" w:hAnsi="宋体;SimSun" w:cs="宋体;SimSun"/>
                <w:color w:val="000000"/>
                <w:kern w:val="0"/>
                <w:sz w:val="20"/>
                <w:szCs w:val="20"/>
              </w:rPr>
              <w:t>曲食安委办〔</w:t>
            </w:r>
            <w:r>
              <w:rPr>
                <w:rFonts w:cs="宋体;SimSun" w:ascii="宋体;SimSun" w:hAnsi="宋体;SimSun"/>
                <w:color w:val="000000"/>
                <w:kern w:val="0"/>
                <w:sz w:val="20"/>
                <w:szCs w:val="20"/>
              </w:rPr>
              <w:t>2017</w:t>
            </w:r>
            <w:r>
              <w:rPr>
                <w:rFonts w:ascii="宋体;SimSun" w:hAnsi="宋体;SimSun" w:cs="宋体;SimSun"/>
                <w:color w:val="000000"/>
                <w:kern w:val="0"/>
                <w:sz w:val="20"/>
                <w:szCs w:val="20"/>
              </w:rPr>
              <w:t>〕</w:t>
            </w:r>
            <w:r>
              <w:rPr>
                <w:rFonts w:cs="宋体;SimSun" w:ascii="宋体;SimSun" w:hAnsi="宋体;SimSun"/>
                <w:color w:val="000000"/>
                <w:kern w:val="0"/>
                <w:sz w:val="20"/>
                <w:szCs w:val="20"/>
              </w:rPr>
              <w:t xml:space="preserve">27 </w:t>
            </w:r>
            <w:r>
              <w:rPr>
                <w:rFonts w:ascii="宋体;SimSun" w:hAnsi="宋体;SimSun" w:cs="宋体;SimSun"/>
                <w:color w:val="000000"/>
                <w:kern w:val="0"/>
                <w:sz w:val="20"/>
                <w:szCs w:val="20"/>
              </w:rPr>
              <w:t>号</w:t>
            </w:r>
            <w:r>
              <w:rPr>
                <w:rFonts w:cs="宋体;SimSun" w:ascii="宋体;SimSun" w:hAnsi="宋体;SimSun"/>
                <w:color w:val="000000"/>
                <w:kern w:val="0"/>
                <w:sz w:val="20"/>
                <w:szCs w:val="20"/>
              </w:rPr>
              <w:t>)</w:t>
            </w:r>
          </w:p>
        </w:tc>
      </w:tr>
      <w:tr>
        <w:trPr>
          <w:trHeight w:val="58" w:hRule="atLeast"/>
        </w:trPr>
        <w:tc>
          <w:tcPr>
            <w:tcW w:w="1196" w:type="dxa"/>
            <w:tcBorders/>
            <w:vAlign w:val="bottom"/>
          </w:tcPr>
          <w:p>
            <w:pPr>
              <w:pStyle w:val="Normal"/>
              <w:snapToGrid w:val="false"/>
              <w:jc w:val="left"/>
              <w:rPr>
                <w:rFonts w:ascii="宋体;SimSun" w:hAnsi="宋体;SimSun" w:cs="宋体;SimSun"/>
                <w:color w:val="000000"/>
                <w:kern w:val="0"/>
                <w:sz w:val="22"/>
                <w:szCs w:val="22"/>
              </w:rPr>
            </w:pPr>
            <w:r>
              <w:rPr>
                <w:rFonts w:cs="宋体;SimSun" w:ascii="宋体;SimSun" w:hAnsi="宋体;SimSun"/>
                <w:color w:val="000000"/>
                <w:kern w:val="0"/>
                <w:sz w:val="22"/>
                <w:szCs w:val="22"/>
              </w:rPr>
            </w:r>
          </w:p>
        </w:tc>
        <w:tc>
          <w:tcPr>
            <w:tcW w:w="1204" w:type="dxa"/>
            <w:gridSpan w:val="2"/>
            <w:tcBorders/>
            <w:vAlign w:val="bottom"/>
          </w:tcPr>
          <w:p>
            <w:pPr>
              <w:pStyle w:val="Normal"/>
              <w:snapToGrid w:val="false"/>
              <w:jc w:val="left"/>
              <w:rPr>
                <w:rFonts w:ascii="宋体;SimSun" w:hAnsi="宋体;SimSun" w:cs="宋体;SimSun"/>
                <w:color w:val="000000"/>
                <w:kern w:val="0"/>
                <w:sz w:val="22"/>
                <w:szCs w:val="22"/>
              </w:rPr>
            </w:pPr>
            <w:r>
              <w:rPr>
                <w:rFonts w:cs="宋体;SimSun" w:ascii="宋体;SimSun" w:hAnsi="宋体;SimSun"/>
                <w:color w:val="000000"/>
                <w:kern w:val="0"/>
                <w:sz w:val="22"/>
                <w:szCs w:val="22"/>
              </w:rPr>
            </w:r>
          </w:p>
        </w:tc>
        <w:tc>
          <w:tcPr>
            <w:tcW w:w="1692" w:type="dxa"/>
            <w:tcBorders/>
            <w:vAlign w:val="bottom"/>
          </w:tcPr>
          <w:p>
            <w:pPr>
              <w:pStyle w:val="Normal"/>
              <w:snapToGrid w:val="false"/>
              <w:jc w:val="left"/>
              <w:rPr>
                <w:rFonts w:ascii="宋体;SimSun" w:hAnsi="宋体;SimSun" w:cs="宋体;SimSun"/>
                <w:color w:val="000000"/>
                <w:kern w:val="0"/>
                <w:sz w:val="22"/>
                <w:szCs w:val="22"/>
              </w:rPr>
            </w:pPr>
            <w:r>
              <w:rPr>
                <w:rFonts w:cs="宋体;SimSun" w:ascii="宋体;SimSun" w:hAnsi="宋体;SimSun"/>
                <w:color w:val="000000"/>
                <w:kern w:val="0"/>
                <w:sz w:val="22"/>
                <w:szCs w:val="22"/>
              </w:rPr>
            </w:r>
          </w:p>
        </w:tc>
        <w:tc>
          <w:tcPr>
            <w:tcW w:w="1701" w:type="dxa"/>
            <w:tcBorders/>
            <w:vAlign w:val="bottom"/>
          </w:tcPr>
          <w:p>
            <w:pPr>
              <w:pStyle w:val="Normal"/>
              <w:snapToGrid w:val="false"/>
              <w:jc w:val="left"/>
              <w:rPr>
                <w:rFonts w:ascii="宋体;SimSun" w:hAnsi="宋体;SimSun" w:cs="宋体;SimSun"/>
                <w:color w:val="000000"/>
                <w:kern w:val="0"/>
                <w:sz w:val="22"/>
                <w:szCs w:val="22"/>
              </w:rPr>
            </w:pPr>
            <w:r>
              <w:rPr>
                <w:rFonts w:cs="宋体;SimSun" w:ascii="宋体;SimSun" w:hAnsi="宋体;SimSun"/>
                <w:color w:val="000000"/>
                <w:kern w:val="0"/>
                <w:sz w:val="22"/>
                <w:szCs w:val="22"/>
              </w:rPr>
            </w:r>
          </w:p>
        </w:tc>
        <w:tc>
          <w:tcPr>
            <w:tcW w:w="1958" w:type="dxa"/>
            <w:tcBorders/>
            <w:vAlign w:val="bottom"/>
          </w:tcPr>
          <w:p>
            <w:pPr>
              <w:pStyle w:val="Normal"/>
              <w:snapToGrid w:val="false"/>
              <w:jc w:val="left"/>
              <w:rPr>
                <w:rFonts w:ascii="宋体;SimSun" w:hAnsi="宋体;SimSun" w:cs="宋体;SimSun"/>
                <w:color w:val="000000"/>
                <w:kern w:val="0"/>
                <w:sz w:val="22"/>
                <w:szCs w:val="22"/>
              </w:rPr>
            </w:pPr>
            <w:r>
              <w:rPr>
                <w:rFonts w:cs="宋体;SimSun" w:ascii="宋体;SimSun" w:hAnsi="宋体;SimSun"/>
                <w:color w:val="000000"/>
                <w:kern w:val="0"/>
                <w:sz w:val="22"/>
                <w:szCs w:val="22"/>
              </w:rPr>
            </w:r>
          </w:p>
        </w:tc>
        <w:tc>
          <w:tcPr>
            <w:tcW w:w="1081" w:type="dxa"/>
            <w:tcBorders/>
            <w:vAlign w:val="bottom"/>
          </w:tcPr>
          <w:p>
            <w:pPr>
              <w:pStyle w:val="Normal"/>
              <w:snapToGrid w:val="false"/>
              <w:jc w:val="left"/>
              <w:rPr>
                <w:rFonts w:ascii="宋体;SimSun" w:hAnsi="宋体;SimSun" w:cs="宋体;SimSun"/>
                <w:color w:val="000000"/>
                <w:kern w:val="0"/>
                <w:sz w:val="22"/>
                <w:szCs w:val="22"/>
              </w:rPr>
            </w:pPr>
            <w:r>
              <w:rPr>
                <w:rFonts w:cs="宋体;SimSun" w:ascii="宋体;SimSun" w:hAnsi="宋体;SimSun"/>
                <w:color w:val="000000"/>
                <w:kern w:val="0"/>
                <w:sz w:val="22"/>
                <w:szCs w:val="22"/>
              </w:rPr>
            </w:r>
          </w:p>
        </w:tc>
      </w:tr>
    </w:tbl>
    <w:p>
      <w:pPr>
        <w:pStyle w:val="Normal"/>
        <w:spacing w:lineRule="exact" w:line="560"/>
        <w:ind w:firstLine="600"/>
        <w:rPr>
          <w:rFonts w:ascii="楷体_GB2312;Arial Unicode MS" w:hAnsi="楷体_GB2312;Arial Unicode MS" w:eastAsia="楷体_GB2312;Arial Unicode MS" w:cs="方正小标宋简体;Arial Unicode MS"/>
          <w:sz w:val="30"/>
          <w:szCs w:val="30"/>
        </w:rPr>
      </w:pPr>
      <w:r>
        <w:rPr>
          <w:rFonts w:ascii="楷体_GB2312;Arial Unicode MS" w:hAnsi="楷体_GB2312;Arial Unicode MS" w:cs="方正小标宋简体;Arial Unicode MS" w:eastAsia="楷体_GB2312;Arial Unicode MS"/>
          <w:sz w:val="30"/>
          <w:szCs w:val="30"/>
        </w:rPr>
        <w:t>（五）其他重要事项情况说明</w:t>
      </w:r>
    </w:p>
    <w:p>
      <w:pPr>
        <w:pStyle w:val="Normal"/>
        <w:spacing w:lineRule="exact" w:line="560"/>
        <w:ind w:firstLine="450"/>
        <w:rPr>
          <w:rFonts w:ascii="仿宋_GB2312;仿宋" w:hAnsi="仿宋_GB2312;仿宋" w:eastAsia="仿宋_GB2312;仿宋"/>
          <w:sz w:val="30"/>
          <w:szCs w:val="30"/>
          <w:highlight w:val="white"/>
        </w:rPr>
      </w:pPr>
      <w:r>
        <w:rPr>
          <w:rFonts w:eastAsia="仿宋_GB2312;仿宋" w:ascii="仿宋_GB2312;仿宋" w:hAnsi="仿宋_GB2312;仿宋"/>
          <w:sz w:val="30"/>
          <w:szCs w:val="30"/>
          <w:highlight w:val="white"/>
        </w:rPr>
        <w:t>1.</w:t>
      </w:r>
      <w:r>
        <w:rPr>
          <w:rFonts w:ascii="仿宋_GB2312;仿宋" w:hAnsi="仿宋_GB2312;仿宋" w:eastAsia="仿宋_GB2312;仿宋"/>
          <w:sz w:val="30"/>
          <w:szCs w:val="30"/>
          <w:highlight w:val="white"/>
        </w:rPr>
        <w:t>部门未涉及政府性基金预算财政拨款，未发生政府性基金预算财政拨款收支。</w:t>
      </w:r>
    </w:p>
    <w:p>
      <w:pPr>
        <w:pStyle w:val="Normal"/>
        <w:spacing w:lineRule="exact" w:line="560"/>
        <w:ind w:firstLine="450"/>
        <w:rPr>
          <w:rFonts w:ascii="仿宋_GB2312;仿宋" w:hAnsi="仿宋_GB2312;仿宋" w:eastAsia="仿宋_GB2312;仿宋"/>
          <w:sz w:val="30"/>
          <w:szCs w:val="30"/>
          <w:highlight w:val="white"/>
        </w:rPr>
      </w:pPr>
      <w:r>
        <w:rPr>
          <w:rFonts w:eastAsia="仿宋_GB2312;仿宋" w:ascii="仿宋_GB2312;仿宋" w:hAnsi="仿宋_GB2312;仿宋"/>
          <w:sz w:val="30"/>
          <w:szCs w:val="30"/>
          <w:shd w:fill="FFFFFF" w:val="clear"/>
        </w:rPr>
        <w:t>2.</w:t>
      </w:r>
      <w:r>
        <w:rPr>
          <w:rFonts w:ascii="仿宋_GB2312;仿宋" w:hAnsi="仿宋_GB2312;仿宋" w:eastAsia="仿宋_GB2312;仿宋"/>
          <w:sz w:val="30"/>
          <w:szCs w:val="30"/>
          <w:shd w:fill="FFFFFF" w:val="clear"/>
        </w:rPr>
        <w:t>部门未涉及财政专户管理资金，未发生财政专户管理资金收支。</w:t>
      </w:r>
    </w:p>
    <w:p>
      <w:pPr>
        <w:pStyle w:val="Normal"/>
        <w:spacing w:lineRule="exact" w:line="560"/>
        <w:ind w:firstLine="450"/>
        <w:rPr>
          <w:rFonts w:ascii="楷体_GB2312;Arial Unicode MS" w:hAnsi="楷体_GB2312;Arial Unicode MS" w:eastAsia="楷体_GB2312;Arial Unicode MS" w:cs="方正小标宋简体;Arial Unicode MS"/>
          <w:sz w:val="30"/>
          <w:szCs w:val="30"/>
        </w:rPr>
      </w:pPr>
      <w:r>
        <w:rPr>
          <w:rFonts w:ascii="楷体_GB2312;Arial Unicode MS" w:hAnsi="楷体_GB2312;Arial Unicode MS" w:cs="方正小标宋简体;Arial Unicode MS" w:eastAsia="楷体_GB2312;Arial Unicode MS"/>
          <w:sz w:val="30"/>
          <w:szCs w:val="30"/>
        </w:rPr>
        <w:t>（六）相关口径说明</w:t>
      </w:r>
    </w:p>
    <w:p>
      <w:pPr>
        <w:pStyle w:val="Normal"/>
        <w:spacing w:lineRule="exact" w:line="560"/>
        <w:ind w:firstLine="600"/>
        <w:rPr>
          <w:rFonts w:ascii="仿宋_GB2312;仿宋" w:hAnsi="仿宋_GB2312;仿宋" w:eastAsia="仿宋_GB2312;仿宋" w:cs="方正小标宋简体;Arial Unicode MS"/>
          <w:sz w:val="30"/>
          <w:szCs w:val="30"/>
        </w:rPr>
      </w:pPr>
      <w:r>
        <w:rPr>
          <w:rFonts w:eastAsia="仿宋_GB2312;仿宋" w:cs="方正小标宋简体;Arial Unicode MS" w:ascii="仿宋_GB2312;仿宋" w:hAnsi="仿宋_GB2312;仿宋"/>
          <w:sz w:val="30"/>
          <w:szCs w:val="30"/>
        </w:rPr>
        <w:t>1</w:t>
      </w:r>
      <w:r>
        <w:rPr>
          <w:rFonts w:ascii="仿宋_GB2312;仿宋" w:hAnsi="仿宋_GB2312;仿宋" w:cs="方正小标宋简体;Arial Unicode MS" w:eastAsia="仿宋_GB2312;仿宋"/>
          <w:sz w:val="30"/>
          <w:szCs w:val="30"/>
        </w:rPr>
        <w:t>．基本支出中人员经费包括工资福利支出和对个人和家庭的补助，日常公用支出包括商品和服务支出、其他资本性支出等人员经费以外的支出。</w:t>
      </w:r>
    </w:p>
    <w:p>
      <w:pPr>
        <w:pStyle w:val="Normal"/>
        <w:spacing w:lineRule="exact" w:line="560"/>
        <w:ind w:firstLine="600"/>
        <w:rPr>
          <w:rFonts w:ascii="仿宋_GB2312;仿宋" w:hAnsi="仿宋_GB2312;仿宋" w:eastAsia="仿宋_GB2312;仿宋" w:cs="方正小标宋简体;Arial Unicode MS"/>
          <w:sz w:val="30"/>
          <w:szCs w:val="30"/>
        </w:rPr>
      </w:pPr>
      <w:r>
        <w:rPr>
          <w:rFonts w:eastAsia="仿宋_GB2312;仿宋" w:cs="方正小标宋简体;Arial Unicode MS" w:ascii="仿宋_GB2312;仿宋" w:hAnsi="仿宋_GB2312;仿宋"/>
          <w:sz w:val="30"/>
          <w:szCs w:val="30"/>
        </w:rPr>
        <w:t>2</w:t>
      </w:r>
      <w:r>
        <w:rPr>
          <w:rFonts w:ascii="仿宋_GB2312;仿宋" w:hAnsi="仿宋_GB2312;仿宋" w:cs="方正小标宋简体;Arial Unicode MS" w:eastAsia="仿宋_GB2312;仿宋"/>
          <w:sz w:val="30"/>
          <w:szCs w:val="30"/>
        </w:rPr>
        <w:t>．机关运行经费指行政单位和参照公务员法管理的事业单位使用一般公共预算财政拨款安排的除人员经费以外的基本支出。</w:t>
      </w:r>
    </w:p>
    <w:p>
      <w:pPr>
        <w:pStyle w:val="Normal"/>
        <w:spacing w:lineRule="exact" w:line="560"/>
        <w:ind w:firstLine="600"/>
        <w:rPr>
          <w:rFonts w:ascii="仿宋_GB2312;仿宋" w:hAnsi="仿宋_GB2312;仿宋" w:eastAsia="仿宋_GB2312;仿宋" w:cs="方正小标宋简体;Arial Unicode MS"/>
          <w:sz w:val="30"/>
          <w:szCs w:val="30"/>
        </w:rPr>
      </w:pPr>
      <w:r>
        <w:rPr>
          <w:rFonts w:eastAsia="仿宋_GB2312;仿宋" w:cs="方正小标宋简体;Arial Unicode MS" w:ascii="仿宋_GB2312;仿宋" w:hAnsi="仿宋_GB2312;仿宋"/>
          <w:sz w:val="30"/>
          <w:szCs w:val="30"/>
        </w:rPr>
        <w:t>3</w:t>
      </w:r>
      <w:r>
        <w:rPr>
          <w:rFonts w:ascii="仿宋_GB2312;仿宋" w:hAnsi="仿宋_GB2312;仿宋" w:cs="方正小标宋简体;Arial Unicode MS" w:eastAsia="仿宋_GB2312;仿宋"/>
          <w:sz w:val="30"/>
          <w:szCs w:val="30"/>
        </w:rPr>
        <w:t>．按照党中央、国务院有关文件及部门预算管理有关规定，“三公”经费包括因公出国（境）费、公务用车购置及运行维护费、公务接待费。其中：因公出国（境）费，指单位工作人员公务出国（境）的国际旅费、国外城市间交通费、住宿费、伙食费、培训费、公杂费等支出；公务用车购置费，指单位公务用车车辆购置支出（含车辆购置税）；公务用车运行维护费，指单位按规定保留的公务用车燃料费、维修费、过桥过路费、保险费、安全奖励费用等支出；公务用车指用于履行公务的机动车辆，包括省部级干部专车、一般公务用车和执法执勤用车；公务接待费，指单位按规定开支的各类公务接待（含外宾接待）费用。</w:t>
      </w:r>
    </w:p>
    <w:p>
      <w:pPr>
        <w:pStyle w:val="Normal"/>
        <w:spacing w:lineRule="exact" w:line="560"/>
        <w:ind w:firstLine="600"/>
        <w:rPr>
          <w:rFonts w:ascii="仿宋_GB2312;仿宋" w:hAnsi="仿宋_GB2312;仿宋" w:eastAsia="仿宋_GB2312;仿宋" w:cs="方正小标宋简体;Arial Unicode MS"/>
          <w:sz w:val="30"/>
          <w:szCs w:val="30"/>
        </w:rPr>
      </w:pPr>
      <w:r>
        <w:rPr>
          <w:rFonts w:eastAsia="仿宋_GB2312;仿宋" w:cs="方正小标宋简体;Arial Unicode MS" w:ascii="仿宋_GB2312;仿宋" w:hAnsi="仿宋_GB2312;仿宋"/>
          <w:sz w:val="30"/>
          <w:szCs w:val="30"/>
        </w:rPr>
        <w:t>4.“</w:t>
      </w:r>
      <w:r>
        <w:rPr>
          <w:rFonts w:ascii="仿宋_GB2312;仿宋" w:hAnsi="仿宋_GB2312;仿宋" w:cs="方正小标宋简体;Arial Unicode MS" w:eastAsia="仿宋_GB2312;仿宋"/>
          <w:sz w:val="30"/>
          <w:szCs w:val="30"/>
        </w:rPr>
        <w:t>三公”经费决算数：指各部门（含下属单位）当年通过本级财政一般公共预算财政拨款和以前年度一般公共预算财政拨款结转结余资金安排的因公出国（境）费、公务用车购置及运行维护费和公务接待费支出数（包括基本支出和项目支出）。</w:t>
      </w:r>
    </w:p>
    <w:p>
      <w:pPr>
        <w:pStyle w:val="Normal"/>
        <w:spacing w:lineRule="exact" w:line="560"/>
        <w:ind w:firstLine="1920"/>
        <w:rPr>
          <w:rFonts w:ascii="黑体;SimHei" w:hAnsi="黑体;SimHei" w:eastAsia="黑体;SimHei" w:cs="方正小标宋简体;Arial Unicode MS"/>
          <w:sz w:val="32"/>
          <w:szCs w:val="32"/>
        </w:rPr>
      </w:pPr>
      <w:r>
        <w:rPr>
          <w:rFonts w:ascii="黑体;SimHei" w:hAnsi="黑体;SimHei" w:cs="方正小标宋简体;Arial Unicode MS" w:eastAsia="黑体;SimHei"/>
          <w:sz w:val="32"/>
          <w:szCs w:val="32"/>
        </w:rPr>
        <w:t>第四部分  名词解释</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（一）财政拨款收入：指本年度从本级财政部门取得的财政拨款，包括一般公共预算财政拨款和政府性基金预算财政拨款。</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（二）事业收入：指事业单位开展专业业务活动及其辅助活动取得的收入；事业单位收到的财政专户实际核拨的教育收费等资金在此反映。</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（三）经营收入：指事业单位在专业业务活动及其辅助活动之外开展非独立核算经营活动取得的收入。</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四）其他收入：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填列在本项内。</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五）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（六）项目支出：指在基本支出之外为完成特定行政任务和事业发展目标所发生的支出。</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（七）经营支出：指事业单位在专业业务活动及其辅助活动之外开展非独立核算经营活动发生的支出。</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八）“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等支出；公务接待费反映单位按规定开支的各类公务接待（含外宾接待）支出。</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九）机关运行经费：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（十）工资福利支出（支出经济分类科目类级）：反映单位开支的在职职工和编制外长期聘用人员的各类劳动报酬，以及为上述人员缴纳的各项社会保险费等。</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（十一）商品和服务支出（支出经济分类科目类级）：反映单位购买商品和服务的支出（不包括用于购置固定资产的支出、战略性和应急储备支出）。</w:t>
      </w:r>
    </w:p>
    <w:p>
      <w:pPr>
        <w:pStyle w:val="Normal"/>
        <w:spacing w:lineRule="exact" w:line="560"/>
        <w:ind w:firstLine="600"/>
        <w:rPr>
          <w:rFonts w:ascii="仿宋_GB2312;仿宋" w:hAnsi="仿宋_GB2312;仿宋" w:eastAsia="仿宋_GB2312;仿宋"/>
          <w:color w:val="000000"/>
          <w:kern w:val="0"/>
          <w:szCs w:val="21"/>
        </w:rPr>
      </w:pPr>
      <w:r>
        <w:rPr>
          <w:rFonts w:ascii="仿宋_GB2312;仿宋" w:hAnsi="仿宋_GB2312;仿宋" w:eastAsia="仿宋_GB2312;仿宋"/>
          <w:color w:val="000000"/>
          <w:kern w:val="0"/>
          <w:sz w:val="30"/>
          <w:szCs w:val="30"/>
        </w:rPr>
        <w:t>（十二）对个人和家庭的补助（支出经济分类科目类级）：反映用于对个人和家庭的补助支出。</w:t>
      </w:r>
    </w:p>
    <w:p>
      <w:pPr>
        <w:pStyle w:val="Normal"/>
        <w:snapToGrid w:val="false"/>
        <w:spacing w:lineRule="exact" w:line="560"/>
        <w:rPr>
          <w:rFonts w:ascii="仿宋_GB2312;仿宋" w:hAnsi="仿宋_GB2312;仿宋" w:eastAsia="仿宋_GB2312;仿宋" w:cs="方正小标宋简体;Arial Unicode MS"/>
          <w:color w:val="000000"/>
          <w:kern w:val="0"/>
          <w:sz w:val="30"/>
          <w:szCs w:val="30"/>
        </w:rPr>
      </w:pPr>
      <w:r>
        <w:rPr>
          <w:rFonts w:eastAsia="仿宋_GB2312;仿宋" w:cs="方正小标宋简体;Arial Unicode MS" w:ascii="仿宋_GB2312;仿宋" w:hAnsi="仿宋_GB2312;仿宋"/>
          <w:color w:val="000000"/>
          <w:kern w:val="0"/>
          <w:sz w:val="30"/>
          <w:szCs w:val="30"/>
        </w:rPr>
      </w:r>
    </w:p>
    <w:p>
      <w:pPr>
        <w:pStyle w:val="Normal"/>
        <w:snapToGrid w:val="false"/>
        <w:spacing w:lineRule="exact" w:line="560"/>
        <w:rPr>
          <w:rFonts w:ascii="仿宋_GB2312;仿宋" w:hAnsi="仿宋_GB2312;仿宋" w:eastAsia="仿宋_GB2312;仿宋" w:cs="黑体;SimHei"/>
          <w:sz w:val="30"/>
          <w:szCs w:val="30"/>
        </w:rPr>
      </w:pPr>
      <w:r>
        <w:rPr>
          <w:rFonts w:eastAsia="仿宋_GB2312;仿宋" w:cs="黑体;SimHei" w:ascii="仿宋_GB2312;仿宋" w:hAnsi="仿宋_GB2312;仿宋"/>
          <w:sz w:val="30"/>
          <w:szCs w:val="30"/>
        </w:rPr>
      </w:r>
    </w:p>
    <w:p>
      <w:pPr>
        <w:pStyle w:val="Normal"/>
        <w:snapToGrid w:val="false"/>
        <w:spacing w:lineRule="exact" w:line="560"/>
        <w:rPr>
          <w:rFonts w:ascii="仿宋_GB2312;仿宋" w:hAnsi="仿宋_GB2312;仿宋" w:eastAsia="仿宋_GB2312;仿宋" w:cs="黑体;SimHei"/>
          <w:sz w:val="30"/>
          <w:szCs w:val="30"/>
        </w:rPr>
      </w:pPr>
      <w:r>
        <w:rPr>
          <w:rFonts w:eastAsia="仿宋_GB2312;仿宋" w:cs="黑体;SimHei" w:ascii="仿宋_GB2312;仿宋" w:hAnsi="仿宋_GB2312;仿宋"/>
          <w:sz w:val="30"/>
          <w:szCs w:val="30"/>
        </w:rPr>
      </w:r>
    </w:p>
    <w:p>
      <w:pPr>
        <w:pStyle w:val="Normal"/>
        <w:snapToGrid w:val="false"/>
        <w:spacing w:lineRule="exact" w:line="560"/>
        <w:rPr>
          <w:rFonts w:ascii="仿宋_GB2312;仿宋" w:hAnsi="仿宋_GB2312;仿宋" w:eastAsia="仿宋_GB2312;仿宋" w:cs="黑体;SimHei"/>
          <w:sz w:val="30"/>
          <w:szCs w:val="30"/>
        </w:rPr>
      </w:pPr>
      <w:r>
        <w:rPr>
          <w:rFonts w:eastAsia="仿宋_GB2312;仿宋" w:cs="黑体;SimHei" w:ascii="仿宋_GB2312;仿宋" w:hAnsi="仿宋_GB2312;仿宋"/>
          <w:sz w:val="30"/>
          <w:szCs w:val="30"/>
        </w:rPr>
      </w:r>
    </w:p>
    <w:p>
      <w:pPr>
        <w:pStyle w:val="Normal"/>
        <w:snapToGrid w:val="false"/>
        <w:spacing w:lineRule="exact" w:line="560"/>
        <w:ind w:firstLine="3900"/>
        <w:rPr>
          <w:rFonts w:ascii="仿宋_GB2312;仿宋" w:hAnsi="仿宋_GB2312;仿宋" w:eastAsia="仿宋_GB2312;仿宋" w:cs="黑体;SimHei"/>
          <w:sz w:val="30"/>
          <w:szCs w:val="30"/>
        </w:rPr>
      </w:pPr>
      <w:r>
        <w:rPr>
          <w:rFonts w:ascii="仿宋_GB2312;仿宋" w:hAnsi="仿宋_GB2312;仿宋" w:cs="黑体;SimHei" w:eastAsia="仿宋_GB2312;仿宋"/>
          <w:sz w:val="30"/>
          <w:szCs w:val="30"/>
        </w:rPr>
        <w:t>曲靖市食品药品监督管理局</w:t>
      </w:r>
    </w:p>
    <w:p>
      <w:pPr>
        <w:pStyle w:val="Normal"/>
        <w:snapToGrid w:val="false"/>
        <w:spacing w:lineRule="exact" w:line="560"/>
        <w:ind w:firstLine="5250"/>
        <w:rPr>
          <w:rFonts w:ascii="仿宋_GB2312;仿宋" w:hAnsi="仿宋_GB2312;仿宋" w:eastAsia="仿宋_GB2312;仿宋" w:cs="黑体;SimHei"/>
          <w:sz w:val="30"/>
          <w:szCs w:val="30"/>
        </w:rPr>
      </w:pPr>
      <w:r>
        <w:rPr>
          <w:rFonts w:eastAsia="仿宋_GB2312;仿宋" w:cs="黑体;SimHei" w:ascii="仿宋_GB2312;仿宋" w:hAnsi="仿宋_GB2312;仿宋"/>
          <w:sz w:val="30"/>
          <w:szCs w:val="30"/>
        </w:rPr>
        <w:t>2018</w:t>
      </w:r>
      <w:r>
        <w:rPr>
          <w:rFonts w:ascii="仿宋_GB2312;仿宋" w:hAnsi="仿宋_GB2312;仿宋" w:cs="黑体;SimHei" w:eastAsia="仿宋_GB2312;仿宋"/>
          <w:sz w:val="30"/>
          <w:szCs w:val="30"/>
        </w:rPr>
        <w:t>年</w:t>
      </w:r>
      <w:r>
        <w:rPr>
          <w:rFonts w:eastAsia="仿宋_GB2312;仿宋" w:cs="黑体;SimHei" w:ascii="仿宋_GB2312;仿宋" w:hAnsi="仿宋_GB2312;仿宋"/>
          <w:sz w:val="30"/>
          <w:szCs w:val="30"/>
        </w:rPr>
        <w:t>8</w:t>
      </w:r>
      <w:r>
        <w:rPr>
          <w:rFonts w:ascii="仿宋_GB2312;仿宋" w:hAnsi="仿宋_GB2312;仿宋" w:cs="黑体;SimHei" w:eastAsia="仿宋_GB2312;仿宋"/>
          <w:sz w:val="30"/>
          <w:szCs w:val="30"/>
        </w:rPr>
        <w:t>月</w:t>
      </w:r>
      <w:r>
        <w:rPr>
          <w:rFonts w:eastAsia="仿宋_GB2312;仿宋" w:cs="黑体;SimHei" w:ascii="仿宋_GB2312;仿宋" w:hAnsi="仿宋_GB2312;仿宋"/>
          <w:sz w:val="30"/>
          <w:szCs w:val="30"/>
        </w:rPr>
        <w:t>8</w:t>
      </w:r>
      <w:r>
        <w:rPr>
          <w:rFonts w:ascii="仿宋_GB2312;仿宋" w:hAnsi="仿宋_GB2312;仿宋" w:cs="黑体;SimHei" w:eastAsia="仿宋_GB2312;仿宋"/>
          <w:sz w:val="30"/>
          <w:szCs w:val="30"/>
        </w:rPr>
        <w:t>日</w:t>
      </w:r>
    </w:p>
    <w:sectPr>
      <w:headerReference w:type="default" r:id="rId2"/>
      <w:footerReference w:type="default" r:id="rId3"/>
      <w:type w:val="nextPage"/>
      <w:pgSz w:w="11906" w:h="16838"/>
      <w:pgMar w:left="1531" w:right="1474" w:header="851" w:top="1474" w:footer="992" w:bottom="158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仿宋_GB2312">
    <w:altName w:val="仿宋"/>
    <w:charset w:val="86"/>
    <w:family w:val="auto"/>
    <w:pitch w:val="default"/>
  </w:font>
  <w:font w:name="Verdana">
    <w:charset w:val="00"/>
    <w:family w:val="swiss"/>
    <w:pitch w:val="variable"/>
  </w:font>
  <w:font w:name="黑体">
    <w:altName w:val="SimHei"/>
    <w:charset w:val="86"/>
    <w:family w:val="modern"/>
    <w:pitch w:val="default"/>
  </w:font>
  <w:font w:name="楷体">
    <w:charset w:val="86"/>
    <w:family w:val="modern"/>
    <w:pitch w:val="default"/>
  </w:font>
  <w:font w:name="楷体_GB2312">
    <w:altName w:val="Arial Unicode MS"/>
    <w:charset w:val="86"/>
    <w:family w:val="modern"/>
    <w:pitch w:val="default"/>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16">
              <wp:simplePos x="0" y="0"/>
              <wp:positionH relativeFrom="margin">
                <wp:align>center</wp:align>
              </wp:positionH>
              <wp:positionV relativeFrom="paragraph">
                <wp:posOffset>635</wp:posOffset>
              </wp:positionV>
              <wp:extent cx="114935" cy="126365"/>
              <wp:effectExtent l="0" t="0" r="0" b="0"/>
              <wp:wrapSquare wrapText="largest"/>
              <wp:docPr id="1"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15</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18pt;mso-position-horizontal:center;mso-position-horizontal-relative:margin">
              <v:fill opacity="0f"/>
              <v:textbox inset="0in,0in,0in,0in">
                <w:txbxContent>
                  <w:p>
                    <w:pPr>
                      <w:pStyle w:val="Footer"/>
                      <w:rPr>
                        <w:rStyle w:val="PageNumber"/>
                      </w:rPr>
                    </w:pPr>
                    <w:r>
                      <w:rPr/>
                      <w:fldChar w:fldCharType="begin"/>
                    </w:r>
                    <w:r>
                      <w:rPr/>
                      <w:instrText> PAGE </w:instrText>
                    </w:r>
                    <w:r>
                      <w:rPr/>
                      <w:fldChar w:fldCharType="separate"/>
                    </w:r>
                    <w:r>
                      <w:rPr/>
                      <w:t>15</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10"/>
  <w:defaultTabStop w:val="4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Style13">
    <w:name w:val="默认段落字体"/>
    <w:qFormat/>
    <w:rPr/>
  </w:style>
  <w:style w:type="character" w:styleId="PageNumber">
    <w:name w:val="Page Number"/>
    <w:basedOn w:val="Style13"/>
    <w:rPr/>
  </w:style>
  <w:style w:type="paragraph" w:styleId="Heading">
    <w:name w:val="Heading"/>
    <w:basedOn w:val="Normal"/>
    <w:next w:val="TextBody"/>
    <w:qFormat/>
    <w:pPr>
      <w:keepNext w:val="true"/>
      <w:spacing w:before="240" w:after="120"/>
    </w:pPr>
    <w:rPr>
      <w:rFonts w:ascii="Liberation Sans" w:hAnsi="Liberation Sans" w:eastAsia="DejaVu Sans" w:cs="DejaVu Sans"/>
      <w:sz w:val="28"/>
      <w:szCs w:val="28"/>
    </w:rPr>
  </w:style>
  <w:style w:type="paragraph" w:styleId="TextBody">
    <w:name w:val="Body Text"/>
    <w:basedOn w:val="Normal"/>
    <w:pPr>
      <w:spacing w:before="93" w:after="0"/>
    </w:pPr>
    <w:rPr>
      <w:rFonts w:ascii="仿宋_GB2312;仿宋" w:hAnsi="仿宋_GB2312;仿宋" w:eastAsia="仿宋_GB2312;仿宋"/>
      <w:sz w:val="3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Style14">
    <w:name w:val="批注框文本"/>
    <w:basedOn w:val="Normal"/>
    <w:qFormat/>
    <w:pPr/>
    <w:rPr>
      <w:sz w:val="18"/>
      <w:szCs w:val="18"/>
    </w:rPr>
  </w:style>
  <w:style w:type="paragraph" w:styleId="Style15">
    <w:name w:val="日期"/>
    <w:basedOn w:val="Normal"/>
    <w:next w:val="Normal"/>
    <w:qFormat/>
    <w:pPr>
      <w:ind w:left="100" w:hanging="0"/>
    </w:pPr>
    <w:rPr/>
  </w:style>
  <w:style w:type="paragraph" w:styleId="ParaCharCharCharCharCharCharCharCharCharChar">
    <w:name w:val="默认段落字体 Para Char Char Char Char Char Char Char Char Char Char"/>
    <w:basedOn w:val="Heading3"/>
    <w:qFormat/>
    <w:pPr>
      <w:numPr>
        <w:ilvl w:val="0"/>
        <w:numId w:val="0"/>
      </w:numPr>
      <w:tabs>
        <w:tab w:val="clear" w:pos="420"/>
        <w:tab w:val="left" w:pos="360" w:leader="none"/>
        <w:tab w:val="left" w:pos="900" w:leader="none"/>
      </w:tabs>
      <w:snapToGrid w:val="false"/>
      <w:spacing w:lineRule="auto" w:line="360" w:before="120" w:after="120"/>
      <w:ind w:left="542" w:firstLine="200"/>
      <w:jc w:val="left"/>
    </w:pPr>
    <w:rPr>
      <w:sz w:val="21"/>
    </w:rPr>
  </w:style>
  <w:style w:type="paragraph" w:styleId="Char">
    <w:name w:val=" Char"/>
    <w:basedOn w:val="Normal"/>
    <w:qFormat/>
    <w:pPr>
      <w:widowControl/>
      <w:spacing w:lineRule="exact" w:line="240" w:before="0" w:after="160"/>
      <w:jc w:val="left"/>
    </w:pPr>
    <w:rPr>
      <w:rFonts w:ascii="Verdana" w:hAnsi="Verdana" w:eastAsia="仿宋_GB2312;仿宋" w:cs="Verdana"/>
      <w:kern w:val="0"/>
      <w:sz w:val="24"/>
      <w:szCs w:val="20"/>
    </w:rPr>
  </w:style>
  <w:style w:type="paragraph" w:styleId="P0">
    <w:name w:val="p0"/>
    <w:basedOn w:val="Normal"/>
    <w:qFormat/>
    <w:pPr>
      <w:widowControl/>
    </w:pPr>
    <w:rPr>
      <w:rFonts w:ascii="仿宋_GB2312;仿宋" w:hAnsi="仿宋_GB2312;仿宋" w:eastAsia="仿宋_GB2312;仿宋" w:cs="宋体;SimSun"/>
      <w:kern w:val="0"/>
      <w:sz w:val="32"/>
      <w:szCs w:val="32"/>
    </w:rPr>
  </w:style>
  <w:style w:type="paragraph" w:styleId="Char1">
    <w:name w:val="Char"/>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LibreOffice/6.4.7.2$Linux_X86_64 LibreOffice_project/40$Build-2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2013-05-09T17:41:00Z</dcterms:created>
  <dc:creator>赵树子</dc:creator>
  <dc:description/>
  <cp:keywords/>
  <dc:language>en-US</dc:language>
  <cp:lastModifiedBy>QJ</cp:lastModifiedBy>
  <cp:lastPrinted>2016-08-02T14:40:00Z</cp:lastPrinted>
  <dcterms:modified xsi:type="dcterms:W3CDTF">2024-05-07T15:18:00Z</dcterms:modified>
  <cp:revision>2</cp:revision>
  <dc:subject/>
  <dc:title>四川省财政厅2011年部门预算编制说明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