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both"/>
      </w:pPr>
      <w:r>
        <w:rPr>
          <w:rFonts w:ascii="仿宋" w:hAnsi="仿宋" w:eastAsia="仿宋" w:cs="仿宋"/>
          <w:sz w:val="24"/>
          <w:szCs w:val="24"/>
        </w:rPr>
        <w:t>附件2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</w:rPr>
      </w:pPr>
      <w:r>
        <w:rPr>
          <w:rFonts w:hint="eastAsia" w:ascii="仿宋" w:hAnsi="仿宋" w:eastAsia="仿宋" w:cs="仿宋"/>
          <w:sz w:val="24"/>
          <w:szCs w:val="24"/>
        </w:rPr>
        <w:t>曲靖中心城市国家园林城市复查台账资料任务分解表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379"/>
        <w:gridCol w:w="844"/>
        <w:gridCol w:w="988"/>
        <w:gridCol w:w="2540"/>
        <w:gridCol w:w="1369"/>
        <w:gridCol w:w="808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类型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指标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国家园林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城市标准</w:t>
            </w:r>
          </w:p>
        </w:tc>
        <w:tc>
          <w:tcPr>
            <w:tcW w:w="3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工作任务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责任单位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完成时限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一、生态宜居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一、生态宜居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一、生态宜居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一、生态宜居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城市绿地率（%）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城市绿地率（%）≥40%；城市各城区最低值不低于25%。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-1-1各类绿地指标数据汇总统计表（附表1）；1-1-2公园（广场用地）绿地登记表（附表2）；1-1-3居住用地附属绿地登记表（附表3）；1-1-4公共管理与公共服务设施用地附属绿地登记表（附表4）；1-1-5道路与交通设施用地附属绿地登记表（附表5）；1-1-6商业服务业设施用地附属绿地登记表（附表6）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（1）“建成区面积”以上报到地方和国家的城市建设统计年鉴为准；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（2）“城市建成区绿地率和绿化覆盖率”以上报到地方和国家的城市建设统计年鉴为准。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1-1-7防护绿地登记表（林草部门填报）（附表7）；1-1-8区域设施防护绿地登记表（林草部门填报）（附表8）；1-1-9生产绿地登记表（林草部门填报）（附表9）。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配合单位：市林草局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城市绿化覆盖率（%）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城市绿化覆盖率（%）≥41%；乔灌木占比≥25%。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1-2-1各类绿地乔灌覆盖比例统计表、登记表（附表12）和城市绿地率用同一表格（附表1-附表9）自行按序编制类型序号—指标序号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人均公园绿地面积（m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/人）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人均公园绿地面积≥12m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/人；城市各城区最低值不低5.0m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/人。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-3-1公园建设相关资料，如：项目建议书、立项的批复、招标文件、中标通知书、规划设计方案、施工总平面图、竣工验收证书等；1-3-2公园简介及实景图片；1-3-3绿线控制图；1-3-4公园绿地界碑、界桩、绿线公示牌、指示牌、示意图等相关图片及统计表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公园绿化活动场地服务半径覆盖率（%）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公园绿化活动场地服务半径覆盖率（%）≥85%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1-4-1公园（广场用地）绿化活动场地服务半径覆盖居住用地面积统计、登记表（附表10）；1-4-2公园（广场用地）绿化活动场地服务半径覆盖图；1-4-3居住用地分布图。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城市绿道服务半径覆盖率（%）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万人拥有绿道长度≥1.0公里；服务半径覆盖率≥60%。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1-5-1城市绿道服务半径覆盖居住用地面积统计、登记表（附表11）；1-5-2城市绿道服务半径覆盖图；1-5-3居住用地分布图。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10万人拥有综合公园个数（个/10万人）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10万人拥有综合公园个数≥1个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-6-1每个综合公园（广场）的规划设计说明书、设计图纸、施工图纸、现场图片等；1-6-2综合公园（广场）的管理机构设置情况（成立文件）；1-6-3综合公园（广场）的管理制度（卫生、养护、安保、护林防火等）；1-6-4公园（广场）基本情况介绍、公园（广场）总平面图、公园（广场）绿线公示图、不同功能分区照片，生物防治情况、私人会所清理整治概况、应急避难场所及无障碍设施建设情况（需制作宣传画册）；1-6-5各区提供公园养护合同、近三年年度考核材料；1-6-6公园（广场）界碑、界桩，绿线公示牌、指示牌、示意图等图片及统计表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城市生态廊道达标率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达标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1-7-1各区生态廊道建设情况统计（自制表格）；1-7-2各区生态廊道总平面图。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城市生物多样性保护达标率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达标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-8-1生物多样性保护规划（文本、说明书、图集）；1-8-2本地木本植物统计表（附表13）；1-8-3生产绿地、植物园中乡土树种栽培统计（用表格形式反映）；1-8-4为保护生物多样性所开展的活动、措施，所开展的课题；1-8-5连续三年的城市生物多样性监测数据；1-8-6生物多样性实施方案；1-8-7开展生物防治活动的文件；1-8-8应用了生物防治技术的绿地登记表（附表14）；1-8-9曲靖市植物园建设项目修建性详细规划文本；1-8-10植物园各园区基本情况（含图片和文本）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配合单位：市林草局、市文化和旅游局、市生态环境局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城市林荫路覆盖率（%）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城市林荫路覆盖率（%）≥70%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1-9-1城市林荫路统计表（附表15）；1-9-2城市林荫路登记表（附表16）。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二、健康舒适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城市道路绿化达标率（%）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城市道路绿化达标率（%）≥80%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2-1-1进行城市道路行道树增绿补绿、普及行道树；2-1-2提供统计资料，并与遥感数据资料核对。（统计资料包括：1.城市道路绿化达标率统计表（附表17），2.城市道路绿化达标率登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表（附表18），3.城市道路绿地的设计图、施工图、效果图及规划文本等）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立体绿化实施率（%）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立体绿化实施率（%）≥10%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2-2-1制定立体绿化推广的鼓励政策、技术措施和实施方案并组织实施；2-2-2制定立体绿化技术规范；2-2-3在沿街墙面、建筑物与构筑物、屋顶、立交桥等，全面推广垂直、立体绿化，确保绿化效果；2-2-4提供近三年新建、改建的公共建筑、工业建筑和市政交通设施开展立体绿化建设工作情况相关台账资料。（包括：立体绿化登记表（附表19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园林式居住区（单位）达标率（%）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园林式居住区（单位）达标率（%）≥50%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2-3-1开展“园林式单位”、“园林式小区”创建活动的通知；2-3-2命名“园林式单位”、“园林式小区”的文件；2-3-3各区2009年-2022年园林单位、小区申报材料。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牵头单位：市复查办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三、安全韧性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05"/>
              <w:jc w:val="left"/>
            </w:pPr>
            <w: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05"/>
              <w:jc w:val="left"/>
            </w:pPr>
            <w: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建成区蓝绿空间占比（%）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建成区蓝绿空间占比（%）≥43%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严格按照《城市绿线管理办法》要求划定城市绿线，编制城市绿线控制图及文本；（2）制定城市绿线管理办法；（3）各区城市的绿线图在至少两种以上媒体向社会公布；（4）提供城市绿线管制执行情况的相关文件及材料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严格按照《城市绿线管理办法》要求划定城市蓝线，编制城市蓝线控制图及文本；（2）制定城市蓝线管理办法；（3）各区城市的蓝线图在至少两种以上媒体向社会公布；（4）提供城市蓝线管制执行情况的相关文件及材料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牵头单位：市水务局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防灾避险绿地设施达标率（%）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防灾避险绿地设施达标率100%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编制《应急管理发展规划》（2021-2025），规范设置防灾避险区域和标识，严格执行规划，确保实施率达80%以上；（2）防灾避险的公园（广场）应增设发电机、应急水井、水泵及储物间等应急设施（需附图片和情况说明）；（3）填报防灾避险绿地（设施）现状统计表（附表20）；（4）防灾避险场所规划建设（含示意图、指示牌制作安装）、应急标识牌（水、电、通讯、医疗）等相关图集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牵头单位：市应急管理局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三、安全韧性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城市湿地保护实施率（%）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城市湿地保护实施率100%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在城市规划区范围内，组织开展曲靖市湿地资源普查，制定《曲靖市城市湿地资源保护规划》，完成湿地资源调查报告，制作湿地资源现状统计表（自制）加强城市湿地资源的合理保护和利用；（2）提供湿地资源保护措施相关台账资料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牵头单位：市林草局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四、风貌特色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四、风貌特色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具有历史价值的公园保护率（%）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具有历史价值的公园保护率100%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进行具有历史价值的公园普查并制定保护统计表；（2）制定历史文化风貌保护规划及历史文化公园的保护实施措施，并严格执行；（3）提供实施的批复文件及保护资料；（4）具有历史价值的公园的情况介绍（含图片及文本）；（5）搞好历史文化旧址的保护修缮和开发，提供保护规划的执行情况台账资料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牵头单位：市文化和旅游局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古树名木及后备资源保护率（%）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古树名木及后备资源保护率100%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进行古树名木及后备资源调查，准确掌握现状资源，保证古树名木及后备资源保护率达100%；（2）健全古树名木及后备资源保护档案，实施挂牌、围挡等相关保护措施，设置标志标识；（3）制定古树名木及后备资源保护管理情况简介（注明经费落实、管理人员、责任机构等）；（4）建立古树名木及后备资源档案管理卡、古树名木及后备资源挂牌登记表（需有古树名木及后备资源实施保护的实景图片），明确责任分工，划定保护范围，落实保护措施，加强保护管理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牵头单位：市林草局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实施主体：麒麟区、沾益区、马龙区人民政府，曲靖经开区管委会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园林绿化工持证上岗率（%）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园林绿化工持证上岗率100%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（1）关于园林绿化工持证上岗的有关文件及通知；（2）园林绿化工持证上岗统计表（含各绿化企业）；（3）园林绿化工身份证、资格证书复印件。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牵头单位：市住房城乡建设局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2022年7月31日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420"/>
        <w:jc w:val="both"/>
      </w:pPr>
      <w:r>
        <w:rPr>
          <w:rFonts w:hint="eastAsia" w:ascii="仿宋" w:hAnsi="仿宋" w:eastAsia="仿宋" w:cs="仿宋"/>
          <w:sz w:val="24"/>
          <w:szCs w:val="24"/>
        </w:rPr>
        <w:t>备注：附件2有关内容将单独成册发至各责任单位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2592"/>
    <w:rsid w:val="0D8F2592"/>
    <w:rsid w:val="16105C8F"/>
    <w:rsid w:val="402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2023-05-06T02:15:00Z</dcterms:created>
  <dc:creator>Administrator</dc:creator>
  <cp:lastModifiedBy>Administrator</cp:lastModifiedBy>
  <dcterms:modified xsi:type="dcterms:W3CDTF">2024-02-23T02:09:32Z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