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89" w:rsidRDefault="00330A89">
      <w:pPr>
        <w:spacing w:line="600" w:lineRule="exact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bookmarkStart w:id="0" w:name="_GoBack"/>
      <w:bookmarkEnd w:id="0"/>
    </w:p>
    <w:p w:rsidR="00330A89" w:rsidRDefault="006627D9">
      <w:pPr>
        <w:spacing w:line="32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330A89" w:rsidRDefault="006627D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曲靖市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310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”工程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责任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清单</w:t>
      </w:r>
    </w:p>
    <w:tbl>
      <w:tblPr>
        <w:tblW w:w="15294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1306"/>
        <w:gridCol w:w="5968"/>
        <w:gridCol w:w="1303"/>
        <w:gridCol w:w="1597"/>
        <w:gridCol w:w="4343"/>
      </w:tblGrid>
      <w:tr w:rsidR="00330A89">
        <w:trPr>
          <w:trHeight w:val="420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目标任务（推进进度）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牵头领导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责任单位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配合单位</w:t>
            </w:r>
          </w:p>
        </w:tc>
      </w:tr>
      <w:tr w:rsidR="00330A89">
        <w:trPr>
          <w:trHeight w:val="441"/>
          <w:jc w:val="center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10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kern w:val="0"/>
                <w:sz w:val="24"/>
              </w:rPr>
              <w:t>件民生实事</w:t>
            </w:r>
          </w:p>
        </w:tc>
      </w:tr>
      <w:tr w:rsidR="00330A89">
        <w:trPr>
          <w:trHeight w:val="111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稳定和扩大就业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开展企业职工职业技能培训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2.6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万人次，农村劳动力技能培训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2.5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万人次，实现城镇新增就业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4.6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万人，新增农村劳动力转移就业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万人。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刘本芳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市人力资源和社会保障局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市发展改革委、市财政局、市工业和信息化局、市教育体育局、市乡村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振兴局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等部门，各县（市、区）人民政府、曲靖经开区管委会。</w:t>
            </w:r>
          </w:p>
        </w:tc>
      </w:tr>
      <w:tr w:rsidR="00330A89">
        <w:trPr>
          <w:trHeight w:val="91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办好人民满意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的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教育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新建改扩建公办幼儿园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所、小学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所、初中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所。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刘本芳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市教育体育局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市发展改革委、市财政局、市自然资源和规划局等部门，各县（市、区）人民政府、曲靖经开区管委会。</w:t>
            </w:r>
          </w:p>
        </w:tc>
      </w:tr>
      <w:tr w:rsidR="00330A89">
        <w:trPr>
          <w:trHeight w:val="1373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推进健康曲靖建设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创建省级以上临床重点专科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个，新建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养结合机构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个，二级及以上公立综合医院设置老年病科的比例达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65%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以上，每千人拥有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岁以下婴幼儿照护服务托位数达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个，全市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80%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的乡镇卫生院（社区卫生服务中心）达到国家基本标准。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刘本芳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市卫生健康委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市发展改革委、市财政局、市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保局、市民政局、市自然资源和规划局等部门，各县（市、区）人民政府、曲靖经开区管委会。</w:t>
            </w:r>
          </w:p>
        </w:tc>
      </w:tr>
      <w:tr w:rsidR="00330A89">
        <w:trPr>
          <w:trHeight w:val="1346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建设现代供水保障网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推进中心城市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三横三纵、十余库联供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现代水网建设，建成岔河水库等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件、加快建设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黑滩河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水库等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24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件、开工建设补木水库等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件骨干水源工程，解决纯水窖供水人口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1.4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万人、水窖辅助供水人口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2.62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万人饮水问题，城乡供水一体化覆盖率提升到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70%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以上。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陈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市水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市发展改革委、市财政局、市自然资源和规划局、市生态环境局、市林业和草原局、市农业农村局等部门，各县（市、区）人民政府、曲靖经开区管委会。</w:t>
            </w:r>
          </w:p>
        </w:tc>
      </w:tr>
      <w:tr w:rsidR="00330A89">
        <w:trPr>
          <w:trHeight w:val="1366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完善交通基础设施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全面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推进宣会等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互联互通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高速公路建设，启动富罗、宣威机场高速公路建设，新改建农村公路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1260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公里，实施农村公路安全生命防护工程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750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公里。新建公交站台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个，其中，智慧公交站台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个。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陈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市交通运输局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市发展改革委、市自然资源和规划局、市生态环境局、市林业和草原局、市交通建设投资集团有限公司等单位，各县（市、区）人民政府、曲靖经开区管委会。</w:t>
            </w:r>
          </w:p>
        </w:tc>
      </w:tr>
      <w:tr w:rsidR="00330A89">
        <w:trPr>
          <w:trHeight w:val="1699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228600</wp:posOffset>
                      </wp:positionV>
                      <wp:extent cx="339725" cy="802005"/>
                      <wp:effectExtent l="0" t="0" r="3175" b="1714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89" w:rsidRDefault="006627D9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25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-33.9pt;margin-top:18pt;width:26.75pt;height: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" fillcolor="white [3201]" stroked="f" strokeweight=".5pt">
                      <v:textbox style="layout-flow:vertical-ideographic">
                        <w:txbxContent>
                          <w:p w:rsidR="00330A89" w:rsidRDefault="006627D9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25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推进巩固拓展脱贫攻坚成果同乡村振兴有效衔接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千方百计促进脱贫人口持续增收，基本消除年人均纯收入低于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万元的脱贫人口。持续推进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13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个乡村振兴示范乡镇建设，启动建设乡村振兴精品示范村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个、美丽村庄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个。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陈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市农业农村局、市乡村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振兴局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各县（市、区）人民政府、曲靖经开区管委会。</w:t>
            </w:r>
          </w:p>
        </w:tc>
      </w:tr>
      <w:tr w:rsidR="00330A89">
        <w:trPr>
          <w:trHeight w:val="108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-297180</wp:posOffset>
                      </wp:positionV>
                      <wp:extent cx="339725" cy="802005"/>
                      <wp:effectExtent l="0" t="0" r="3175" b="17145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89" w:rsidRDefault="006627D9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" o:spid="_x0000_s1027" type="#_x0000_t202" style="position:absolute;left:0;text-align:left;margin-left:-39.85pt;margin-top:-23.4pt;width:26.75pt;height:6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" fillcolor="white [3201]" stroked="f" strokeweight=".5pt">
                      <v:textbox style="layout-flow:vertical-ideographic">
                        <w:txbxContent>
                          <w:p w:rsidR="00330A89" w:rsidRDefault="006627D9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提升食品安全保障水平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创成国家食品安全示范城市，强化基层食品安全监管能力建设，加强学校、农村群体性聚餐等重点领域食品安全监管，全市农产品和食品抽检量达到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批次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千人以上，食品评价性抽检合格率达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98%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以上。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吴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静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市市场监督管理局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市发展改革委、市卫生健康委、市教育体育局、市公安局、市农业农村局等部门，各县（市、区）人民政府、曲靖经开区管委会。</w:t>
            </w:r>
          </w:p>
        </w:tc>
      </w:tr>
      <w:tr w:rsidR="00330A89">
        <w:trPr>
          <w:trHeight w:val="1581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提升城市发展品质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确保中心城市建成区面积达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110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平方公里、城镇化率达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67%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，全市常住人口城镇化率达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53%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，新增城市道路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公里、污水管网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公里、公园绿地面积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26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万平方米。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陈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志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李金林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市住房城乡建设局、市交通运输局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市发展改革委、市自然资源和规划局、市生态环境局、市水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局、市城市综合管理局、市发展投资集团有限公司、市交通建设投资集团有限公司等单位，各县（市、区）人民政府、曲靖经开区管委会。</w:t>
            </w:r>
          </w:p>
        </w:tc>
      </w:tr>
      <w:tr w:rsidR="00330A89">
        <w:trPr>
          <w:trHeight w:val="1156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强化住房保障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加快麒麟区余家屯等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59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个安置小区建设，实施城镇老旧小区改造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9817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户、棚户区改造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16000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户，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新建保障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性租赁住房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1586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套，实施农房抗震改造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25544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户、农村危房改造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999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李金林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市住房城乡建设局、市自然资源和规划局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市发展改革委、市财政局、市农业农村局等部门，各县（市、区）人民政府、曲靖经开区管委会。</w:t>
            </w:r>
          </w:p>
        </w:tc>
      </w:tr>
      <w:tr w:rsidR="00330A89">
        <w:trPr>
          <w:trHeight w:val="82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依法依规解决群众合理诉求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严格落实领导干部包案化解和接访下访制度，化解信访积案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件以上。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王文生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市信访局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市公安局、市司法局等部门，各县（市、区）人民政府、曲靖经开区管委会。</w:t>
            </w:r>
          </w:p>
        </w:tc>
      </w:tr>
      <w:tr w:rsidR="00330A89">
        <w:trPr>
          <w:trHeight w:val="480"/>
          <w:jc w:val="center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10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kern w:val="0"/>
                <w:sz w:val="24"/>
              </w:rPr>
              <w:t>个专项行动</w:t>
            </w:r>
          </w:p>
        </w:tc>
      </w:tr>
      <w:tr w:rsidR="00330A89">
        <w:trPr>
          <w:trHeight w:val="2753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城乡绿化美化专项行动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聚焦绿美城镇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绿美乡村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绿美交通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个重点领域，创建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个绿美乡镇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1416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个绿美村庄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个绿美景区，开展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公里高速公路、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1900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公里农村公路、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公里普通国省道绿化美化，实施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个中小河流治理项目、建设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个美丽河湖、治理水土流失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平方公里，推动曲靖高新区、师宗产业园区建成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绿美园区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，建成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所“特色绿化品位示范校园”和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所“生物多样性示范校园”，确保全市公园服务半径覆盖率不低于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85%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，麒麟区和宣威市人均公园绿地面积增幅不低于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0.3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平方米、其余县区不低于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0.5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平方米。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市财政局、市工业和信息化局、市教育体育局、市住房城乡建设局、市交通运输局、市农业农村局、市水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局、市文化和旅游局、市</w:t>
            </w:r>
            <w:r w:rsidR="003B3934"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林业和草原局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等部门，各县（市、区）人民政府、曲靖经开区管委会。</w:t>
            </w:r>
          </w:p>
        </w:tc>
      </w:tr>
      <w:tr w:rsidR="00330A89">
        <w:trPr>
          <w:trHeight w:val="1566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开发区要素保障专项行动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坚持“要素保障跟着项目走”的原则，围绕开发区建设中的用地、用电、环境容量、资金等要素，全力破解要素瓶颈制约，提高资源配置效率，以高效率要素配置推动开发区高质量发展。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市财政局、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市自然资源和规划局、市生态环境局、市水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局、市金融办、市能源局，人行曲靖市中心支行、曲靖银保监分局、曲靖供电局等部门，各县（市、区）人民政府、曲靖经开区管委会。</w:t>
            </w:r>
          </w:p>
        </w:tc>
      </w:tr>
      <w:tr w:rsidR="00330A89">
        <w:trPr>
          <w:trHeight w:val="1632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生态环境突出问题整治及生态文明示范区建设专项行动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完成生态环境突出问题整治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个，积极争创省级生态文明建设示范市，推动马龙区、师宗县、麒麟区创建国家级生态文明建设示范区，力争罗平县创成“绿水青山就是金山银山”国家实践创新基地。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市生态环境局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市工业和信息化局、市水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局、市农业农村局、市交通运输局等部门，各县（市、区）人民政府、曲靖经开区管委会。</w:t>
            </w:r>
          </w:p>
        </w:tc>
      </w:tr>
      <w:tr w:rsidR="00330A89">
        <w:trPr>
          <w:trHeight w:val="1633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国家级高新区创建及高新技术企业培育专项行动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争取成功创建国家级曲靖高新区，培育国家级高新技术企业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45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户、省级以上科技型中小企业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于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韬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市科技局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曲靖高新区管委会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市财政局、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市税务局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等部门，各县（市、区）人民政府、曲靖经开区管委会。</w:t>
            </w:r>
          </w:p>
        </w:tc>
      </w:tr>
      <w:tr w:rsidR="00330A89">
        <w:trPr>
          <w:trHeight w:val="150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招商引资专项行动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实际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到位省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外国内资金增长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25%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以上，实际利用外资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20400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万美元；新增落户世界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强企业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户，引进行业龙头、领军企业不少于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户，引进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亿元以上重大项目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15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个以上；签约项目合同履约率提高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、开工率提高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、资金到位率提高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、投产率提高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吴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静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市投资促进局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市工业和信息化局、市商务局、市农业农村局、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市文化和旅游局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等部门，各县（市、区）人民政府、曲靖经开区管委会。</w:t>
            </w:r>
          </w:p>
        </w:tc>
      </w:tr>
      <w:tr w:rsidR="00330A89">
        <w:trPr>
          <w:trHeight w:val="1141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信访积案化解专项行动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按照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“三到位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处理”原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则，精心组织、精准施策、精准发力，推进全市信访积案比例大幅下降、突出矛盾明显缓解，解决信访问题、化解突出矛盾的治理效能明显提升。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王文生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市信访局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市公安局、市司法局等部门，各县（市、区）人民政府、曲靖经开区管委会。</w:t>
            </w:r>
          </w:p>
        </w:tc>
      </w:tr>
      <w:tr w:rsidR="00330A89">
        <w:trPr>
          <w:trHeight w:val="1645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健康县城建设专项行动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巩固提升爱国卫生“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个专项行动”成果，深入开展绿城市、治污染、除四害、食安心、勤锻炼、管慢病、家健康“新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个专项行动”，确保宣威市、富源县、会泽县创成国家卫生县城（城市），麒麟区、沾益区、马龙区、罗平县、师宗县、陆良县达到健康县城标准，创成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个国家卫生乡镇。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刘本芳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市卫生健康委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市住房城乡建设局、市生态环境局、市市场监督管理局、市教育体育局等部门，各县（市、区）人民政府、曲靖经开区管委会。</w:t>
            </w:r>
          </w:p>
        </w:tc>
      </w:tr>
      <w:tr w:rsidR="00330A89">
        <w:trPr>
          <w:trHeight w:val="140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332740</wp:posOffset>
                      </wp:positionV>
                      <wp:extent cx="339725" cy="802005"/>
                      <wp:effectExtent l="0" t="0" r="3175" b="1714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89" w:rsidRDefault="006627D9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8" type="#_x0000_t202" style="position:absolute;left:0;text-align:left;margin-left:-33.9pt;margin-top:26.2pt;width:26.75pt;height:6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" fillcolor="white [3201]" stroked="f" strokeweight=".5pt">
                      <v:textbox style="layout-flow:vertical-ideographic">
                        <w:txbxContent>
                          <w:p w:rsidR="00330A89" w:rsidRDefault="006627D9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乡村建设及农村人居环境整治提升专项行动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改建卫生公厕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904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座，卫生户厕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43610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座；乡镇镇区生活垃圾、污水处理设施实现全覆盖；村庄生活垃圾处理设施实现全覆盖，行政村生活污水治理率达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39%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、收集处理率达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12%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；全面完成村庄规划编制。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陈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市农业农村局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市发展改革委、市财政局、市住房城乡建设局、市生态环境局、市乡村振兴局、市自然资源和规划局等部门，各县（市、区）人民政府、曲靖经开区管委会。</w:t>
            </w:r>
          </w:p>
        </w:tc>
      </w:tr>
      <w:tr w:rsidR="00330A89">
        <w:trPr>
          <w:trHeight w:val="1891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-255270</wp:posOffset>
                      </wp:positionV>
                      <wp:extent cx="339725" cy="802005"/>
                      <wp:effectExtent l="0" t="0" r="3175" b="1714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89" w:rsidRDefault="006627D9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0" o:spid="_x0000_s1029" type="#_x0000_t202" style="position:absolute;left:0;text-align:left;margin-left:-38.65pt;margin-top:-20.1pt;width:26.75pt;height:6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" fillcolor="white [3201]" stroked="f" strokeweight=".5pt">
                      <v:textbox style="layout-flow:vertical-ideographic">
                        <w:txbxContent>
                          <w:p w:rsidR="00330A89" w:rsidRDefault="006627D9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国有企业提质增效专项行动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市本级着力打造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户定位明确、主业突出、规模较大、可持续发展能力较强的企业集团；各县（市、区）、曲靖经开区着力打造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1—2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户企业集团为主体的国企发展格局。全市国有企业资产年均增长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左右，资产负债率（不含金融企业）控制在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70%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以内；新增主体信用评级达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AA+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的市属国有企业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户以上、主体信用评级达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AA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的县属国有企业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户以上。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兰发文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市国资委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市发展改革委、市财政局、市交通运输局、市住房城乡建设局、市金融办、人行曲靖市中心支行等部门，各县（市、区）人民政府、曲靖经开区管委会。</w:t>
            </w:r>
          </w:p>
        </w:tc>
      </w:tr>
      <w:tr w:rsidR="00330A89">
        <w:trPr>
          <w:trHeight w:val="104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煤矿安全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生产整治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专项行动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坚决防范和遏制煤矿事故发生，煤矿安全事故起数、死亡人数大幅下降，煤矿百万吨死亡率</w:t>
            </w:r>
            <w:r>
              <w:rPr>
                <w:rFonts w:ascii="方正仿宋_GBK" w:eastAsia="方正仿宋_GBK" w:hAnsi="Times New Roman" w:cs="Times New Roman"/>
                <w:kern w:val="0"/>
                <w:sz w:val="24"/>
              </w:rPr>
              <w:t>达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到全国平均水平。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李金林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市能源局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市应急管理局、市自然资源和规划局、市生态环境局、市公安局、国家矿监局云南局监察执法一处等部门，各产煤县（市、区）人民政府。</w:t>
            </w:r>
          </w:p>
        </w:tc>
      </w:tr>
      <w:tr w:rsidR="00330A89">
        <w:trPr>
          <w:trHeight w:val="501"/>
          <w:jc w:val="center"/>
        </w:trPr>
        <w:tc>
          <w:tcPr>
            <w:tcW w:w="15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10</w:t>
            </w:r>
            <w:r>
              <w:rPr>
                <w:rFonts w:ascii="方正仿宋_GBK" w:eastAsia="方正仿宋_GBK" w:hAnsi="Times New Roman" w:cs="Times New Roman" w:hint="eastAsia"/>
                <w:b/>
                <w:bCs/>
                <w:kern w:val="0"/>
                <w:sz w:val="24"/>
              </w:rPr>
              <w:t>个重大产业项目</w:t>
            </w:r>
          </w:p>
        </w:tc>
      </w:tr>
      <w:tr w:rsidR="00330A89">
        <w:trPr>
          <w:trHeight w:val="1931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德方纳米年产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33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万吨新型磷酸盐系正极材料生产基地项目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月启动主体工程建设，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月底完成主体工程建设，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月底完成设备安装和项目配套基础设施建设，达到试生产条件。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市工业和信息化局、曲靖经开区管委会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市发展改革委、市自然资源和规划局、市生态环境局、市能源局、市林业和草原局、曲靖供电局等部门。</w:t>
            </w:r>
          </w:p>
        </w:tc>
      </w:tr>
      <w:tr w:rsidR="00330A89">
        <w:trPr>
          <w:trHeight w:val="148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亿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纬锂能年产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23GWh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储能动力电池项目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月中旬前启动主厂区建设，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月完成主厂区建设并启动设备安装，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月底完成配套湖滨路建设，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条生产线达到试生产条件。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市工业和信息化局、曲靖经开区管委会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市发展改革委、市自然资源和规划局、市生态环境局、市能源局、曲靖供电局等部门。</w:t>
            </w:r>
          </w:p>
        </w:tc>
      </w:tr>
      <w:tr w:rsidR="00330A89">
        <w:trPr>
          <w:trHeight w:val="2162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915035</wp:posOffset>
                      </wp:positionV>
                      <wp:extent cx="777875" cy="436245"/>
                      <wp:effectExtent l="0" t="0" r="3175" b="190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5815" y="6957060"/>
                                <a:ext cx="777875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9.55pt;margin-top:72.05pt;height:34.35pt;width:61.25pt;z-index:251667456;v-text-anchor:middle;mso-width-relative:page;mso-height-relative:page;" fillcolor="#FFFFFF [3212]" filled="t" stroked="f" coordsize="21600,21600" o:gfxdata="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vao89&#10;2QAAAAoBAAAPAAAAAAAAAAEAIAAAACIAAABkcnMvZG93bnJldi54bWxQSwECFAAUAAAACACHTuJA&#10;iGBLdFkCAACJBAAADgAAAAAAAAABACAAAAAoAQAAZHJzL2Uyb0RvYy54bWxQSwUGAAAAAAYABgBZ&#10;AQAA8wU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1664335</wp:posOffset>
                      </wp:positionV>
                      <wp:extent cx="730250" cy="365125"/>
                      <wp:effectExtent l="6350" t="6350" r="6350" b="95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0" cy="36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2.65pt;margin-top:131.05pt;height:28.75pt;width:57.5pt;z-index:251666432;v-text-anchor:middle;mso-width-relative:page;mso-height-relative:page;" fillcolor="#FFFFFF [3212]" filled="t" stroked="t" coordsize="21600,21600" o:gfxdata="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3k+6jYAAAACgEAAA8A&#10;AAAAAAAAAQAgAAAAIgAAAGRycy9kb3ducmV2LnhtbFBLAQIUABQAAAAIAIdO4kC90ztOUAIAAKUE&#10;AAAOAAAAAAAAAAEAIAAAACcBAABkcnMvZTJvRG9jLnhtbFBLBQYAAAAABgAGAFkBAADpBQAAAAA=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曲靖经开区年产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10GW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高效电池和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5GW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高效组件、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13GW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电池片项目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晶澳三期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10GW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高效电池和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5GW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高效组件项目，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月底完成电池片车间主体工程建设，并进行设备安装，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月底达到试生产条件；组件车间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9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月底完成主体建设，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月底完成设备安装、达到试生产条件。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江苏润阳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13GW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电池片项目，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月启动主体工程建设，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月完成主体工程建设和设备安装，达到试生产条件。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市工业和信息化局、曲靖经开区管委会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市发展改革委、市投资促进局、市自然资源和规划局、市生态环境局、市能源局、曲靖供电局等部门。</w:t>
            </w:r>
          </w:p>
        </w:tc>
      </w:tr>
      <w:tr w:rsidR="00330A89">
        <w:trPr>
          <w:trHeight w:val="2489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信义玻璃年产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万吨多晶硅及日产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2400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吨光伏组件盖板、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1400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吨浮法玻璃项目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多晶硅一期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万吨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项目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启动主厂区建设，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完成部分设备安装调试，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完成整体设备安装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并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启动调试，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全面投产；多晶硅二期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万吨项目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月底完成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前期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手续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办理。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2400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吨光伏组件盖板项目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月底完成用地场平，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底完成项目前期手续办理并启动厂房建设。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1400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吨浮法玻璃项目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底完成产能置换手续办理。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市工业和信息化局、麒麟区人民政府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市发展改革委、市自然资源和规划局、市生态环境局、市能源局、曲靖供电局等部门。</w:t>
            </w:r>
          </w:p>
        </w:tc>
      </w:tr>
      <w:tr w:rsidR="00330A89">
        <w:trPr>
          <w:trHeight w:val="149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红太阳生命健康产业园一期项目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月底，完成一期项目用地农转征和部分用地成片开发方案编制报审，以及项目规划设计和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项目环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评、能评、安评报告编制；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月底，完成项目地勘和场地平整工程，完善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项目环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评、能评、安评等手续，启动一期项目建设；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月底，力争一期项目生产装置启动单体试车调试。</w:t>
            </w:r>
          </w:p>
          <w:p w:rsidR="00330A89" w:rsidRDefault="00330A89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陈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市工业和信息化局、沾益区人民政府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市发展改革委、市投资促进局、市能源局、市农业农村局、市自然资源和规划局、市应急管理局、市生态环境局等部门。</w:t>
            </w:r>
          </w:p>
        </w:tc>
      </w:tr>
      <w:tr w:rsidR="00330A89">
        <w:trPr>
          <w:trHeight w:val="1917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赫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里欧年产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10GW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光电建筑一体化（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BIPV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）产业园项目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月底完成厂房主体改造和办公楼装修、厂区内道路硬化、绿化美化工程，满足产品生产条件和人员办公条件；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月底完成设备安装调试；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月底建成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期年产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2GW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光电建筑一体化（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BIPV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）生产线并投产。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市工业和信息化局、沾益区人民政府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市发展改革委、市自然资源和规划局、曲靖供电局等部门。</w:t>
            </w:r>
          </w:p>
        </w:tc>
      </w:tr>
      <w:tr w:rsidR="00330A89">
        <w:trPr>
          <w:trHeight w:val="1957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875030</wp:posOffset>
                      </wp:positionV>
                      <wp:extent cx="339725" cy="802005"/>
                      <wp:effectExtent l="0" t="0" r="3175" b="1714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89" w:rsidRDefault="006627D9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30" type="#_x0000_t202" style="position:absolute;left:0;text-align:left;margin-left:-33.3pt;margin-top:68.9pt;width:26.75pt;height:6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" fillcolor="white [3201]" stroked="f" strokeweight=".5pt">
                      <v:textbox style="layout-flow:vertical-ideographic">
                        <w:txbxContent>
                          <w:p w:rsidR="00330A89" w:rsidRDefault="006627D9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钢铁焦化传统产业转型升级项目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钢铁项目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月底完成双友、扬钢、天高镍业转型升级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项目环评手续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办理并启动建设，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月底完成土建工程及主设备订购、部分设备安装。焦化项目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月底完成黑金能源、盛凯焦化、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扬钢焦化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转型升级项目产能置换审核工作，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月底黑金能源和盛凯焦化转型升级项目竣工投产、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启动扬钢焦化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项目建设，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完成扬钢焦化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项目土建工程量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80%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及部分设备订购安装。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市工业和信息化局，麒麟区、沾益区、师宗县人民政府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市发展改革委、市自然资源和规划局、市生态环境局、市能源局、曲靖供电局等部门。</w:t>
            </w:r>
          </w:p>
        </w:tc>
      </w:tr>
      <w:tr w:rsidR="00330A89">
        <w:trPr>
          <w:trHeight w:val="2449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-302260</wp:posOffset>
                      </wp:positionV>
                      <wp:extent cx="339725" cy="802005"/>
                      <wp:effectExtent l="0" t="0" r="3175" b="1714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802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A89" w:rsidRDefault="006627D9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31" type="#_x0000_t202" style="position:absolute;left:0;text-align:left;margin-left:-39.2pt;margin-top:-23.8pt;width:26.75pt;height:6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" fillcolor="white [3201]" stroked="f" strokeweight=".5pt">
                      <v:textbox style="layout-flow:vertical-ideographic">
                        <w:txbxContent>
                          <w:p w:rsidR="00330A89" w:rsidRDefault="006627D9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330A8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新能源发电项目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万千瓦风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电项目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实现并网发电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万千瓦、完成投资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亿元，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542.4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万千瓦地面集中式光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伏项目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实现并网发电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万千瓦、完成投资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亿元，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39.7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万千瓦整县屋顶分布式光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伏试点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项目实现全量并网发电、完成投资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亿元。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月底新启动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万千瓦以上新能源发电项目，力争实现并网发电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万千瓦、完成投资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亿元。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李金林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市能源局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市发展改革委、市自然资源和规划局、市生态环境局、市林业和草原局、曲靖供电局等部门，各县（市、区）人民政府、曲靖经开区管委会。</w:t>
            </w:r>
          </w:p>
        </w:tc>
      </w:tr>
      <w:tr w:rsidR="00330A89">
        <w:trPr>
          <w:trHeight w:val="1946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麒麟区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潦浒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古镇项目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月底完成三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街五巷项目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施工图设计，启动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爨戏古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戏台、生活集市、陶瓷文化公园等节点性建筑和景观建设，完成部分样板段示范改造；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月底完成田园综合体基础设施建设和土地平整、农作物播种，启动旅游专线建设；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月底启动旅游综合体验中心（珠源瓷厂）、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爨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文化码头、三院、四坊建设，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月底完成建设任务。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李金林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文旅局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、麒麟区人民政府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市发展改革委、市自然资源和规划局、市住房城乡建设局等部门。</w:t>
            </w:r>
          </w:p>
        </w:tc>
      </w:tr>
      <w:tr w:rsidR="00330A89">
        <w:trPr>
          <w:trHeight w:val="117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滇中好运金融仓建设项目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330A89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  <w:p w:rsidR="00330A89" w:rsidRDefault="006627D9">
            <w:pPr>
              <w:widowControl/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月底组织施工单位进场开展建筑工程施工，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月底完成企业孵化中心、商品分拣厂房等主体建筑建设，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9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月底完成配套设施建设，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月底项目二期建成投运。</w:t>
            </w:r>
          </w:p>
          <w:p w:rsidR="00330A89" w:rsidRDefault="00330A8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龚加武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市商务局、马龙区人民政府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89" w:rsidRDefault="006627D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市发展改革委、市自然资源和规划局、市交通运输局、市金融办、人行曲靖市中心支行、曲靖银保</w:t>
            </w:r>
            <w:proofErr w:type="gramStart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监分局</w:t>
            </w:r>
            <w:proofErr w:type="gramEnd"/>
            <w:r>
              <w:rPr>
                <w:rFonts w:ascii="方正仿宋_GBK" w:eastAsia="方正仿宋_GBK" w:hAnsi="Times New Roman" w:cs="Times New Roman" w:hint="eastAsia"/>
                <w:kern w:val="0"/>
                <w:sz w:val="24"/>
              </w:rPr>
              <w:t>等部门。</w:t>
            </w:r>
          </w:p>
        </w:tc>
      </w:tr>
    </w:tbl>
    <w:p w:rsidR="00330A89" w:rsidRDefault="00330A89">
      <w:pPr>
        <w:spacing w:line="560" w:lineRule="exact"/>
        <w:rPr>
          <w:rFonts w:ascii="Times New Roman" w:eastAsia="方正小标宋简体" w:hAnsi="Times New Roman" w:cs="方正黑体_GBK"/>
          <w:sz w:val="44"/>
          <w:szCs w:val="44"/>
        </w:rPr>
      </w:pPr>
    </w:p>
    <w:p w:rsidR="00330A89" w:rsidRDefault="00330A89" w:rsidP="003B3934">
      <w:pPr>
        <w:pStyle w:val="21"/>
        <w:ind w:firstLine="880"/>
        <w:rPr>
          <w:rFonts w:ascii="Times New Roman" w:eastAsia="方正小标宋简体" w:hAnsi="Times New Roman" w:cs="方正黑体_GBK"/>
          <w:sz w:val="44"/>
          <w:szCs w:val="44"/>
        </w:rPr>
      </w:pPr>
    </w:p>
    <w:p w:rsidR="00330A89" w:rsidRDefault="00330A89">
      <w:pPr>
        <w:pStyle w:val="a3"/>
        <w:rPr>
          <w:rFonts w:eastAsia="方正小标宋简体" w:cs="方正黑体_GBK"/>
          <w:sz w:val="44"/>
          <w:szCs w:val="44"/>
        </w:rPr>
      </w:pPr>
    </w:p>
    <w:p w:rsidR="00330A89" w:rsidRDefault="00330A89">
      <w:pPr>
        <w:pStyle w:val="5"/>
        <w:rPr>
          <w:rFonts w:ascii="Times New Roman" w:eastAsia="方正小标宋简体" w:hAnsi="Times New Roman" w:cs="方正黑体_GBK"/>
          <w:sz w:val="44"/>
          <w:szCs w:val="44"/>
        </w:rPr>
      </w:pPr>
    </w:p>
    <w:p w:rsidR="00330A89" w:rsidRDefault="00330A89">
      <w:pPr>
        <w:rPr>
          <w:rFonts w:ascii="Times New Roman" w:eastAsia="方正小标宋简体" w:hAnsi="Times New Roman" w:cs="方正黑体_GBK"/>
          <w:sz w:val="44"/>
          <w:szCs w:val="44"/>
        </w:rPr>
      </w:pPr>
    </w:p>
    <w:p w:rsidR="00330A89" w:rsidRDefault="006627D9" w:rsidP="003B3934">
      <w:pPr>
        <w:pStyle w:val="21"/>
        <w:ind w:firstLine="880"/>
        <w:sectPr w:rsidR="00330A89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680" w:bottom="454" w:left="1077" w:header="851" w:footer="567" w:gutter="0"/>
          <w:cols w:space="0"/>
          <w:docGrid w:type="lines" w:linePitch="312"/>
        </w:sect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417195</wp:posOffset>
                </wp:positionV>
                <wp:extent cx="730250" cy="365125"/>
                <wp:effectExtent l="6350" t="6350" r="635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9310" y="6992620"/>
                          <a:ext cx="730250" cy="36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1.45pt;margin-top:32.85pt;height:28.75pt;width:57.5pt;z-index:251665408;v-text-anchor:middle;mso-width-relative:page;mso-height-relative:page;" fillcolor="#FFFFFF [3212]" filled="t" stroked="t" coordsize="21600,21600" o:gfxdata="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jzLc&#10;2AAAAAkBAAAPAAAAAAAAAAEAIAAAACIAAABkcnMvZG93bnJldi54bWxQSwECFAAUAAAACACHTuJA&#10;wQ2hPFoCAACwBAAADgAAAAAAAAABACAAAAAnAQAAZHJzL2Uyb0RvYy54bWxQSwUGAAAAAAYABgBZ&#10;AQAA8w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330A89" w:rsidRDefault="00330A89">
      <w:pPr>
        <w:pStyle w:val="5"/>
        <w:ind w:left="0"/>
      </w:pPr>
    </w:p>
    <w:sectPr w:rsidR="00330A89">
      <w:footerReference w:type="even" r:id="rId12"/>
      <w:footerReference w:type="default" r:id="rId13"/>
      <w:pgSz w:w="11906" w:h="16838"/>
      <w:pgMar w:top="1928" w:right="1417" w:bottom="1871" w:left="1531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D9" w:rsidRDefault="006627D9">
      <w:r>
        <w:separator/>
      </w:r>
    </w:p>
  </w:endnote>
  <w:endnote w:type="continuationSeparator" w:id="0">
    <w:p w:rsidR="006627D9" w:rsidRDefault="006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89" w:rsidRDefault="006627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182245</wp:posOffset>
              </wp:positionH>
              <wp:positionV relativeFrom="paragraph">
                <wp:posOffset>-40005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A89" w:rsidRDefault="006627D9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934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2" type="#_x0000_t202" style="position:absolute;margin-left:14.35pt;margin-top:-3.1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" filled="f" stroked="f" strokeweight=".5pt">
              <v:textbox style="mso-fit-shape-to-text:t" inset="0,0,0,0">
                <w:txbxContent>
                  <w:p w:rsidR="00330A89" w:rsidRDefault="006627D9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B3934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89" w:rsidRDefault="00330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89" w:rsidRDefault="00330A8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89" w:rsidRDefault="00330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D9" w:rsidRDefault="006627D9">
      <w:r>
        <w:separator/>
      </w:r>
    </w:p>
  </w:footnote>
  <w:footnote w:type="continuationSeparator" w:id="0">
    <w:p w:rsidR="006627D9" w:rsidRDefault="0066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89" w:rsidRDefault="00330A8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89" w:rsidRDefault="00330A8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DViMmQ1YjNkYTk3OTRjZTIzMjNjNDFhNGQzMTAifQ=="/>
  </w:docVars>
  <w:rsids>
    <w:rsidRoot w:val="00172A27"/>
    <w:rsid w:val="EF3B2047"/>
    <w:rsid w:val="00172A27"/>
    <w:rsid w:val="00330A89"/>
    <w:rsid w:val="003B3934"/>
    <w:rsid w:val="006627D9"/>
    <w:rsid w:val="00962EFB"/>
    <w:rsid w:val="00D52E35"/>
    <w:rsid w:val="00DD6AF5"/>
    <w:rsid w:val="00EC1BBB"/>
    <w:rsid w:val="00FC6ADC"/>
    <w:rsid w:val="021072AF"/>
    <w:rsid w:val="02790CE6"/>
    <w:rsid w:val="03182102"/>
    <w:rsid w:val="054B51DD"/>
    <w:rsid w:val="05C36AC2"/>
    <w:rsid w:val="096642F4"/>
    <w:rsid w:val="096A5DB6"/>
    <w:rsid w:val="09CE023E"/>
    <w:rsid w:val="0B27032F"/>
    <w:rsid w:val="0B747A1F"/>
    <w:rsid w:val="0BB26087"/>
    <w:rsid w:val="0DA41AEF"/>
    <w:rsid w:val="0EBB0019"/>
    <w:rsid w:val="0FFD6999"/>
    <w:rsid w:val="10047760"/>
    <w:rsid w:val="10071A07"/>
    <w:rsid w:val="10153EE6"/>
    <w:rsid w:val="101C3E16"/>
    <w:rsid w:val="10237D74"/>
    <w:rsid w:val="11D84F69"/>
    <w:rsid w:val="1272078F"/>
    <w:rsid w:val="12B1526F"/>
    <w:rsid w:val="136D0473"/>
    <w:rsid w:val="14D44DC0"/>
    <w:rsid w:val="155039C8"/>
    <w:rsid w:val="15F02C5A"/>
    <w:rsid w:val="16162493"/>
    <w:rsid w:val="167963B9"/>
    <w:rsid w:val="18111C62"/>
    <w:rsid w:val="1886507D"/>
    <w:rsid w:val="19321E3A"/>
    <w:rsid w:val="198811D4"/>
    <w:rsid w:val="19977354"/>
    <w:rsid w:val="1A8A0FF4"/>
    <w:rsid w:val="1AC46AB3"/>
    <w:rsid w:val="1AE85391"/>
    <w:rsid w:val="1B1C6DF5"/>
    <w:rsid w:val="1B2162D5"/>
    <w:rsid w:val="1B6C7574"/>
    <w:rsid w:val="1B8117E5"/>
    <w:rsid w:val="1C82360F"/>
    <w:rsid w:val="1D7C5E70"/>
    <w:rsid w:val="1DAF2C54"/>
    <w:rsid w:val="1DF2262A"/>
    <w:rsid w:val="1E6013D0"/>
    <w:rsid w:val="1E6E11A6"/>
    <w:rsid w:val="1F170B69"/>
    <w:rsid w:val="1FFFB586"/>
    <w:rsid w:val="20C83B23"/>
    <w:rsid w:val="21666EED"/>
    <w:rsid w:val="223F539A"/>
    <w:rsid w:val="243214DC"/>
    <w:rsid w:val="24402CCA"/>
    <w:rsid w:val="2504643A"/>
    <w:rsid w:val="2506254E"/>
    <w:rsid w:val="25682706"/>
    <w:rsid w:val="25893564"/>
    <w:rsid w:val="26B218E3"/>
    <w:rsid w:val="26B722E5"/>
    <w:rsid w:val="26FD5C9B"/>
    <w:rsid w:val="272F6554"/>
    <w:rsid w:val="278A2BF7"/>
    <w:rsid w:val="29373919"/>
    <w:rsid w:val="293B555F"/>
    <w:rsid w:val="294B726C"/>
    <w:rsid w:val="296B0462"/>
    <w:rsid w:val="2B6149C0"/>
    <w:rsid w:val="2BA319E7"/>
    <w:rsid w:val="2BC2298C"/>
    <w:rsid w:val="2C4F3A16"/>
    <w:rsid w:val="2D0545C9"/>
    <w:rsid w:val="2E055E4C"/>
    <w:rsid w:val="2EB02065"/>
    <w:rsid w:val="2EEA5722"/>
    <w:rsid w:val="2FF260BD"/>
    <w:rsid w:val="309A78B5"/>
    <w:rsid w:val="30E87185"/>
    <w:rsid w:val="31CC6DCB"/>
    <w:rsid w:val="32213D49"/>
    <w:rsid w:val="32E55826"/>
    <w:rsid w:val="34AA6B67"/>
    <w:rsid w:val="3601177A"/>
    <w:rsid w:val="37585D69"/>
    <w:rsid w:val="3ADD7373"/>
    <w:rsid w:val="3BF40EC0"/>
    <w:rsid w:val="3CA62C37"/>
    <w:rsid w:val="3DAA3CDF"/>
    <w:rsid w:val="3E57FBCE"/>
    <w:rsid w:val="422C1A5C"/>
    <w:rsid w:val="434A3970"/>
    <w:rsid w:val="43DD2DB0"/>
    <w:rsid w:val="448319B1"/>
    <w:rsid w:val="44B44F4D"/>
    <w:rsid w:val="465E13EF"/>
    <w:rsid w:val="47DF2F3D"/>
    <w:rsid w:val="495518CA"/>
    <w:rsid w:val="4B77236A"/>
    <w:rsid w:val="4C116C24"/>
    <w:rsid w:val="4CE75604"/>
    <w:rsid w:val="4EC53C5A"/>
    <w:rsid w:val="4EF5506D"/>
    <w:rsid w:val="4F2A4253"/>
    <w:rsid w:val="510A7CD3"/>
    <w:rsid w:val="51484071"/>
    <w:rsid w:val="51621E9F"/>
    <w:rsid w:val="51742D9A"/>
    <w:rsid w:val="53664BB9"/>
    <w:rsid w:val="53811EE3"/>
    <w:rsid w:val="552C78FE"/>
    <w:rsid w:val="594E34EE"/>
    <w:rsid w:val="5A4312C4"/>
    <w:rsid w:val="5AD43898"/>
    <w:rsid w:val="5AEA18A0"/>
    <w:rsid w:val="5BCE4F90"/>
    <w:rsid w:val="5C47126D"/>
    <w:rsid w:val="5DA210C2"/>
    <w:rsid w:val="5E2E5932"/>
    <w:rsid w:val="5EB24C0C"/>
    <w:rsid w:val="5F045A8F"/>
    <w:rsid w:val="5F08439C"/>
    <w:rsid w:val="602446F5"/>
    <w:rsid w:val="62E13941"/>
    <w:rsid w:val="633E3E4D"/>
    <w:rsid w:val="6455375F"/>
    <w:rsid w:val="64AC236F"/>
    <w:rsid w:val="64FD6968"/>
    <w:rsid w:val="650A0C42"/>
    <w:rsid w:val="650D099A"/>
    <w:rsid w:val="651C0EE8"/>
    <w:rsid w:val="660F1C0A"/>
    <w:rsid w:val="67A931EE"/>
    <w:rsid w:val="682F734C"/>
    <w:rsid w:val="685C64D3"/>
    <w:rsid w:val="68B03AA2"/>
    <w:rsid w:val="69014B24"/>
    <w:rsid w:val="695A74CB"/>
    <w:rsid w:val="69F54A13"/>
    <w:rsid w:val="6B167D6B"/>
    <w:rsid w:val="6B3B3F7B"/>
    <w:rsid w:val="6BA7603F"/>
    <w:rsid w:val="6C603B35"/>
    <w:rsid w:val="6D734A7C"/>
    <w:rsid w:val="6E455762"/>
    <w:rsid w:val="6EC2603D"/>
    <w:rsid w:val="70AF7067"/>
    <w:rsid w:val="715D5654"/>
    <w:rsid w:val="73516DF3"/>
    <w:rsid w:val="75B02914"/>
    <w:rsid w:val="75D165FF"/>
    <w:rsid w:val="75D66F9B"/>
    <w:rsid w:val="77DD7B55"/>
    <w:rsid w:val="7817196D"/>
    <w:rsid w:val="795F2EC1"/>
    <w:rsid w:val="79D06FC9"/>
    <w:rsid w:val="7A475385"/>
    <w:rsid w:val="7B4870A2"/>
    <w:rsid w:val="7B4D7E9B"/>
    <w:rsid w:val="7BEF1CE7"/>
    <w:rsid w:val="7BFDDBE1"/>
    <w:rsid w:val="7C9650B0"/>
    <w:rsid w:val="7CC7251E"/>
    <w:rsid w:val="7DB22EC1"/>
    <w:rsid w:val="7DBB719F"/>
    <w:rsid w:val="7DBE471B"/>
    <w:rsid w:val="7DEE89F0"/>
    <w:rsid w:val="7E4666DA"/>
    <w:rsid w:val="7E9F0E72"/>
    <w:rsid w:val="7EEE6858"/>
    <w:rsid w:val="7F261557"/>
    <w:rsid w:val="7F892633"/>
    <w:rsid w:val="7FA6199C"/>
    <w:rsid w:val="7FFDECF2"/>
    <w:rsid w:val="9FB7F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toc 5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343"/>
      <w:outlineLvl w:val="0"/>
    </w:pPr>
    <w:rPr>
      <w:rFonts w:ascii="宋体" w:eastAsia="宋体" w:hAnsi="宋体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pPr>
      <w:jc w:val="left"/>
      <w:outlineLvl w:val="1"/>
    </w:pPr>
    <w:rPr>
      <w:rFonts w:ascii="宋体" w:eastAsia="方正楷体_GBK" w:hAnsi="宋体" w:cs="Times New Roman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uiPriority w:val="99"/>
    <w:qFormat/>
    <w:pPr>
      <w:ind w:firstLineChars="200" w:firstLine="420"/>
    </w:pPr>
  </w:style>
  <w:style w:type="paragraph" w:styleId="a3">
    <w:name w:val="Body Text"/>
    <w:basedOn w:val="a"/>
    <w:next w:val="5"/>
    <w:qFormat/>
    <w:rPr>
      <w:rFonts w:ascii="Times New Roman" w:hAnsi="Times New Roman"/>
    </w:rPr>
  </w:style>
  <w:style w:type="paragraph" w:styleId="5">
    <w:name w:val="toc 5"/>
    <w:basedOn w:val="a"/>
    <w:next w:val="a"/>
    <w:qFormat/>
    <w:pPr>
      <w:ind w:left="1680"/>
    </w:pPr>
  </w:style>
  <w:style w:type="paragraph" w:styleId="a4">
    <w:name w:val="Body Text Indent"/>
    <w:basedOn w:val="a"/>
    <w:next w:val="a"/>
    <w:qFormat/>
    <w:pPr>
      <w:ind w:leftChars="200" w:left="420"/>
    </w:pPr>
    <w:rPr>
      <w:rFonts w:ascii="Calibri" w:eastAsia="宋体" w:hAnsi="Calibri" w:cs="Times New Roman"/>
      <w:sz w:val="32"/>
      <w:szCs w:val="32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1">
    <w:name w:val="Body Text First Indent 2"/>
    <w:basedOn w:val="a4"/>
    <w:next w:val="a3"/>
    <w:qFormat/>
    <w:pPr>
      <w:ind w:firstLineChars="200" w:firstLine="420"/>
    </w:p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方正楷体_GBK" w:hAnsi="宋体" w:cs="宋体" w:hint="eastAsia"/>
      <w:kern w:val="0"/>
      <w:sz w:val="32"/>
      <w:szCs w:val="36"/>
      <w:lang w:bidi="ar"/>
    </w:rPr>
  </w:style>
  <w:style w:type="paragraph" w:customStyle="1" w:styleId="10">
    <w:name w:val="正文缩进1"/>
    <w:basedOn w:val="a"/>
    <w:qFormat/>
    <w:pPr>
      <w:ind w:firstLineChars="200" w:firstLine="420"/>
    </w:p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toc 5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343"/>
      <w:outlineLvl w:val="0"/>
    </w:pPr>
    <w:rPr>
      <w:rFonts w:ascii="宋体" w:eastAsia="宋体" w:hAnsi="宋体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pPr>
      <w:jc w:val="left"/>
      <w:outlineLvl w:val="1"/>
    </w:pPr>
    <w:rPr>
      <w:rFonts w:ascii="宋体" w:eastAsia="方正楷体_GBK" w:hAnsi="宋体" w:cs="Times New Roman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uiPriority w:val="99"/>
    <w:qFormat/>
    <w:pPr>
      <w:ind w:firstLineChars="200" w:firstLine="420"/>
    </w:pPr>
  </w:style>
  <w:style w:type="paragraph" w:styleId="a3">
    <w:name w:val="Body Text"/>
    <w:basedOn w:val="a"/>
    <w:next w:val="5"/>
    <w:qFormat/>
    <w:rPr>
      <w:rFonts w:ascii="Times New Roman" w:hAnsi="Times New Roman"/>
    </w:rPr>
  </w:style>
  <w:style w:type="paragraph" w:styleId="5">
    <w:name w:val="toc 5"/>
    <w:basedOn w:val="a"/>
    <w:next w:val="a"/>
    <w:qFormat/>
    <w:pPr>
      <w:ind w:left="1680"/>
    </w:pPr>
  </w:style>
  <w:style w:type="paragraph" w:styleId="a4">
    <w:name w:val="Body Text Indent"/>
    <w:basedOn w:val="a"/>
    <w:next w:val="a"/>
    <w:qFormat/>
    <w:pPr>
      <w:ind w:leftChars="200" w:left="420"/>
    </w:pPr>
    <w:rPr>
      <w:rFonts w:ascii="Calibri" w:eastAsia="宋体" w:hAnsi="Calibri" w:cs="Times New Roman"/>
      <w:sz w:val="32"/>
      <w:szCs w:val="32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1">
    <w:name w:val="Body Text First Indent 2"/>
    <w:basedOn w:val="a4"/>
    <w:next w:val="a3"/>
    <w:qFormat/>
    <w:pPr>
      <w:ind w:firstLineChars="200" w:firstLine="420"/>
    </w:p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方正楷体_GBK" w:hAnsi="宋体" w:cs="宋体" w:hint="eastAsia"/>
      <w:kern w:val="0"/>
      <w:sz w:val="32"/>
      <w:szCs w:val="36"/>
      <w:lang w:bidi="ar"/>
    </w:rPr>
  </w:style>
  <w:style w:type="paragraph" w:customStyle="1" w:styleId="10">
    <w:name w:val="正文缩进1"/>
    <w:basedOn w:val="a"/>
    <w:qFormat/>
    <w:pPr>
      <w:ind w:firstLineChars="200" w:firstLine="420"/>
    </w:pPr>
  </w:style>
  <w:style w:type="character" w:customStyle="1" w:styleId="Char">
    <w:name w:val="页脚 Char"/>
    <w:basedOn w:val="a0"/>
    <w:link w:val="a5"/>
    <w:uiPriority w:val="99"/>
    <w:qFormat/>
    <w:rPr>
      <w:kern w:val="2"/>
      <w:sz w:val="1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</dc:creator>
  <cp:lastModifiedBy>刘会然</cp:lastModifiedBy>
  <cp:revision>3</cp:revision>
  <cp:lastPrinted>2023-01-20T07:52:00Z</cp:lastPrinted>
  <dcterms:created xsi:type="dcterms:W3CDTF">2022-12-07T07:04:00Z</dcterms:created>
  <dcterms:modified xsi:type="dcterms:W3CDTF">2024-01-26T09:36:00Z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693B7F6D0CAD45F984A0FF923E11C1F2</vt:lpwstr>
  </property>
</Properties>
</file>