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bookmarkEnd w:id="0"/>
    <w:p>
      <w:pPr>
        <w:bidi w:val="0"/>
        <w:jc w:val="center"/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  <w:t>曲靖市城市管理系统行政许可事项实施规范</w:t>
      </w:r>
    </w:p>
    <w:p>
      <w:pPr>
        <w:bidi w:val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ind w:firstLine="643" w:firstLineChars="20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承接法律、行政法规、国务院决定设定的在云南省实</w:t>
      </w:r>
    </w:p>
    <w:p>
      <w:pPr>
        <w:bidi w:val="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施的行政许可事项（7项）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1.[133]关闭、闲置、拆除城市环境卫生设施许可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2.[134]拆除环境卫生设施许可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3.[135]从事城市生活垃圾经营性清扫、收集、运输、处理服务审批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4.[136]城市建筑垃圾处置核准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5.[137]临时性建筑物搭建、堆放物料、占道施工审批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6.[138]改变绿化规划、绿化用地的使用性质审批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7.[139]工程建设涉及城市绿地、树木审批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MzBiMDc1YWQ5NmE3ZjZlZDFmMThiMWY3OTcxNTcifQ=="/>
  </w:docVars>
  <w:rsids>
    <w:rsidRoot w:val="6D9E357D"/>
    <w:rsid w:val="6D9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2023-11-20T08:41:00Z</dcterms:created>
  <dc:creator>l</dc:creator>
  <cp:lastModifiedBy>l</cp:lastModifiedBy>
  <dcterms:modified xsi:type="dcterms:W3CDTF">2023-11-20T08:42:08Z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B305C67C111F45349B95D5ABA719F93E_11</vt:lpwstr>
  </property>
</Properties>
</file>