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240" w:lineRule="exact"/>
        <w:jc w:val="left"/>
        <w:textAlignment w:val="auto"/>
        <w:rPr>
          <w:rFonts w:hint="default" w:ascii="Times New Roman" w:hAnsi="Times New Roman" w:eastAsia="仿宋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曲靖市2023年工贸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重点企业有限空间作业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专家指导服务月进展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情况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65"/>
        <w:gridCol w:w="812"/>
        <w:gridCol w:w="1015"/>
        <w:gridCol w:w="866"/>
        <w:gridCol w:w="957"/>
        <w:gridCol w:w="646"/>
        <w:gridCol w:w="393"/>
        <w:gridCol w:w="404"/>
        <w:gridCol w:w="392"/>
        <w:gridCol w:w="438"/>
        <w:gridCol w:w="404"/>
        <w:gridCol w:w="427"/>
        <w:gridCol w:w="358"/>
        <w:gridCol w:w="396"/>
        <w:gridCol w:w="1"/>
        <w:gridCol w:w="708"/>
        <w:gridCol w:w="1"/>
        <w:gridCol w:w="718"/>
        <w:gridCol w:w="1"/>
        <w:gridCol w:w="824"/>
        <w:gridCol w:w="1"/>
        <w:gridCol w:w="915"/>
        <w:gridCol w:w="712"/>
        <w:gridCol w:w="765"/>
        <w:gridCol w:w="669"/>
        <w:gridCol w:w="727"/>
        <w:gridCol w:w="51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市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区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工贸重点企业总数（户）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当月工贸重点企业有限空间作业专家指导服务数量（户）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企业内涉有限空间作业点位数（个）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可能产生中毒风险的有限空间作业点位数（个）</w:t>
            </w: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专家指导服务企业总数（户）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专家服务发现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  <w:sz w:val="21"/>
                <w:szCs w:val="21"/>
                <w:lang w:eastAsia="zh-CN"/>
              </w:rPr>
              <w:t>隐患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1"/>
                <w:szCs w:val="21"/>
              </w:rPr>
              <w:t>问题情况</w:t>
            </w:r>
          </w:p>
        </w:tc>
        <w:tc>
          <w:tcPr>
            <w:tcW w:w="38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  <w:lang w:eastAsia="zh-CN"/>
              </w:rPr>
              <w:t>监管部门检查处罚情况</w:t>
            </w:r>
          </w:p>
        </w:tc>
        <w:tc>
          <w:tcPr>
            <w:tcW w:w="37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</w:rPr>
              <w:t>企业整改提升情况</w:t>
            </w:r>
          </w:p>
        </w:tc>
        <w:tc>
          <w:tcPr>
            <w:tcW w:w="51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1"/>
                <w:szCs w:val="21"/>
                <w:lang w:eastAsia="zh-CN"/>
              </w:rPr>
              <w:t>发现隐患</w:t>
            </w:r>
            <w:r>
              <w:rPr>
                <w:rFonts w:hint="default" w:ascii="Times New Roman" w:hAnsi="Times New Roman" w:eastAsia="仿宋" w:cs="Times New Roman"/>
                <w:spacing w:val="12"/>
                <w:sz w:val="21"/>
                <w:szCs w:val="21"/>
              </w:rPr>
              <w:t>问题</w:t>
            </w:r>
            <w:r>
              <w:rPr>
                <w:rFonts w:hint="default" w:ascii="Times New Roman" w:hAnsi="Times New Roman" w:eastAsia="仿宋" w:cs="Times New Roman"/>
                <w:spacing w:val="9"/>
                <w:w w:val="106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9"/>
                <w:w w:val="106"/>
                <w:sz w:val="21"/>
                <w:szCs w:val="21"/>
                <w:lang w:eastAsia="zh-CN"/>
              </w:rPr>
              <w:t>条</w:t>
            </w:r>
            <w:r>
              <w:rPr>
                <w:rFonts w:hint="default" w:ascii="Times New Roman" w:hAnsi="Times New Roman" w:eastAsia="仿宋" w:cs="Times New Roman"/>
                <w:spacing w:val="9"/>
                <w:w w:val="106"/>
                <w:sz w:val="21"/>
                <w:szCs w:val="21"/>
              </w:rPr>
              <w:t>)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</w:rPr>
              <w:t>完成</w:t>
            </w: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  <w:t>隐患</w:t>
            </w: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</w:rPr>
              <w:t>整</w:t>
            </w:r>
            <w:r>
              <w:rPr>
                <w:rFonts w:hint="default" w:ascii="Times New Roman" w:hAnsi="Times New Roman" w:eastAsia="仿宋" w:cs="Times New Roman"/>
                <w:spacing w:val="-5"/>
                <w:sz w:val="21"/>
                <w:szCs w:val="21"/>
              </w:rPr>
              <w:t>改</w:t>
            </w:r>
            <w:r>
              <w:rPr>
                <w:rFonts w:hint="default" w:ascii="Times New Roman" w:hAnsi="Times New Roman" w:eastAsia="仿宋" w:cs="Times New Roman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-5"/>
                <w:sz w:val="21"/>
                <w:szCs w:val="21"/>
                <w:lang w:eastAsia="zh-CN"/>
              </w:rPr>
              <w:t>条</w:t>
            </w:r>
            <w:r>
              <w:rPr>
                <w:rFonts w:hint="default" w:ascii="Times New Roman" w:hAnsi="Times New Roman" w:eastAsia="仿宋" w:cs="Times New Roman"/>
                <w:spacing w:val="-5"/>
                <w:sz w:val="21"/>
                <w:szCs w:val="21"/>
              </w:rPr>
              <w:t>)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1"/>
                <w:szCs w:val="21"/>
                <w:lang w:eastAsia="zh-CN"/>
              </w:rPr>
              <w:t>发现隐患</w:t>
            </w:r>
            <w:r>
              <w:rPr>
                <w:rFonts w:hint="default" w:ascii="Times New Roman" w:hAnsi="Times New Roman" w:eastAsia="仿宋" w:cs="Times New Roman"/>
                <w:spacing w:val="12"/>
                <w:sz w:val="21"/>
                <w:szCs w:val="21"/>
              </w:rPr>
              <w:t>问题</w:t>
            </w:r>
            <w:r>
              <w:rPr>
                <w:rFonts w:hint="default" w:ascii="Times New Roman" w:hAnsi="Times New Roman" w:eastAsia="仿宋" w:cs="Times New Roman"/>
                <w:spacing w:val="9"/>
                <w:w w:val="106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9"/>
                <w:w w:val="106"/>
                <w:sz w:val="21"/>
                <w:szCs w:val="21"/>
                <w:lang w:eastAsia="zh-CN"/>
              </w:rPr>
              <w:t>条</w:t>
            </w:r>
            <w:r>
              <w:rPr>
                <w:rFonts w:hint="default" w:ascii="Times New Roman" w:hAnsi="Times New Roman" w:eastAsia="仿宋" w:cs="Times New Roman"/>
                <w:spacing w:val="9"/>
                <w:w w:val="106"/>
                <w:sz w:val="21"/>
                <w:szCs w:val="21"/>
              </w:rPr>
              <w:t>)</w:t>
            </w:r>
          </w:p>
        </w:tc>
        <w:tc>
          <w:tcPr>
            <w:tcW w:w="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</w:rPr>
              <w:t>完成</w:t>
            </w: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  <w:t>隐患</w:t>
            </w: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</w:rPr>
              <w:t>整</w:t>
            </w:r>
            <w:r>
              <w:rPr>
                <w:rFonts w:hint="default" w:ascii="Times New Roman" w:hAnsi="Times New Roman" w:eastAsia="仿宋" w:cs="Times New Roman"/>
                <w:spacing w:val="-5"/>
                <w:sz w:val="21"/>
                <w:szCs w:val="21"/>
              </w:rPr>
              <w:t>改</w:t>
            </w:r>
            <w:r>
              <w:rPr>
                <w:rFonts w:hint="default" w:ascii="Times New Roman" w:hAnsi="Times New Roman" w:eastAsia="仿宋" w:cs="Times New Roman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-5"/>
                <w:sz w:val="21"/>
                <w:szCs w:val="21"/>
                <w:lang w:eastAsia="zh-CN"/>
              </w:rPr>
              <w:t>条</w:t>
            </w:r>
            <w:r>
              <w:rPr>
                <w:rFonts w:hint="default" w:ascii="Times New Roman" w:hAnsi="Times New Roman" w:eastAsia="仿宋" w:cs="Times New Roman"/>
                <w:spacing w:val="-5"/>
                <w:sz w:val="21"/>
                <w:szCs w:val="21"/>
              </w:rPr>
              <w:t>)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  <w:t>立案处罚企业（户）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  <w:t>处罚金额（万元）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  <w:t>停产停业整顿（户）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  <w:t>处罚企业主要负责人（万元）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1"/>
                <w:szCs w:val="21"/>
              </w:rPr>
              <w:t>完善制</w:t>
            </w: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</w:rPr>
              <w:t>度规程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4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4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仿宋" w:cs="Times New Roman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4"/>
                <w:sz w:val="21"/>
                <w:szCs w:val="21"/>
              </w:rPr>
              <w:t>)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1"/>
                <w:szCs w:val="21"/>
              </w:rPr>
              <w:t>张贴警</w:t>
            </w:r>
            <w:r>
              <w:rPr>
                <w:rFonts w:hint="default" w:ascii="Times New Roman" w:hAnsi="Times New Roman" w:eastAsia="仿宋" w:cs="Times New Roman"/>
                <w:spacing w:val="9"/>
                <w:sz w:val="21"/>
                <w:szCs w:val="21"/>
              </w:rPr>
              <w:t>示标志</w:t>
            </w:r>
            <w:r>
              <w:rPr>
                <w:rFonts w:hint="default" w:ascii="Times New Roman" w:hAnsi="Times New Roman" w:eastAsia="仿宋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5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5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仿宋" w:cs="Times New Roman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5"/>
                <w:sz w:val="21"/>
                <w:szCs w:val="21"/>
              </w:rPr>
              <w:t>)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1"/>
                <w:szCs w:val="21"/>
              </w:rPr>
              <w:t>配套防</w:t>
            </w:r>
            <w:r>
              <w:rPr>
                <w:rFonts w:hint="default" w:ascii="Times New Roman" w:hAnsi="Times New Roman" w:eastAsia="仿宋" w:cs="Times New Roman"/>
                <w:spacing w:val="-4"/>
                <w:sz w:val="21"/>
                <w:szCs w:val="21"/>
              </w:rPr>
              <w:t>护装备</w:t>
            </w:r>
            <w:r>
              <w:rPr>
                <w:rFonts w:hint="default" w:ascii="Times New Roman" w:hAnsi="Times New Roman" w:eastAsia="仿宋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3"/>
                <w:sz w:val="21"/>
                <w:szCs w:val="21"/>
              </w:rPr>
              <w:t>套</w:t>
            </w:r>
            <w:r>
              <w:rPr>
                <w:rFonts w:hint="default" w:ascii="Times New Roman" w:hAnsi="Times New Roman" w:eastAsia="仿宋" w:cs="Times New Roman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1"/>
                <w:szCs w:val="21"/>
              </w:rPr>
              <w:t>专业作</w:t>
            </w:r>
            <w:r>
              <w:rPr>
                <w:rFonts w:hint="default" w:ascii="Times New Roman" w:hAnsi="Times New Roman" w:eastAsia="仿宋" w:cs="Times New Roman"/>
                <w:spacing w:val="-3"/>
                <w:sz w:val="21"/>
                <w:szCs w:val="21"/>
              </w:rPr>
              <w:t>业队伍</w:t>
            </w:r>
            <w:r>
              <w:rPr>
                <w:rFonts w:hint="default" w:ascii="Times New Roman" w:hAnsi="Times New Roman" w:eastAsia="仿宋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3"/>
                <w:sz w:val="21"/>
                <w:szCs w:val="21"/>
              </w:rPr>
              <w:t>支</w:t>
            </w:r>
            <w:r>
              <w:rPr>
                <w:rFonts w:hint="default" w:ascii="Times New Roman" w:hAnsi="Times New Roman" w:eastAsia="仿宋" w:cs="Times New Roman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51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5" w:hRule="atLeast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一般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重大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一般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重大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一般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重大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一般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重大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8" w:hRule="atLeast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5" w:hRule="atLeast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9" w:hRule="atLeast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9" w:hRule="atLeast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9" w:hRule="atLeast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9" w:hRule="atLeast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3" w:hRule="atLeast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left="-199" w:leftChars="-95" w:firstLine="346" w:firstLineChars="117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eastAsia="zh-CN"/>
        </w:rPr>
      </w:pPr>
      <w:r>
        <w:rPr>
          <w:rFonts w:hint="default" w:ascii="Times New Roman" w:hAnsi="Times New Roman" w:eastAsia="仿宋" w:cs="Times New Roman"/>
          <w:spacing w:val="8"/>
          <w:sz w:val="28"/>
          <w:szCs w:val="28"/>
          <w:lang w:val="en-US" w:eastAsia="zh-CN"/>
        </w:rPr>
        <w:t>说明：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eastAsia="zh-CN"/>
        </w:rPr>
        <w:t>工贸重点企业总数，是指各地涉有限空间作业工贸企业；专家指导服务企业总数和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val="en-US" w:eastAsia="zh-CN"/>
        </w:rPr>
        <w:t>涉有限空间作业点位数及可能产生中毒风险的有限空间作业点位数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eastAsia="zh-CN"/>
        </w:rPr>
        <w:t>是指每月累计数。各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eastAsia="zh-CN"/>
        </w:rPr>
        <w:t>于每月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val="en-US" w:eastAsia="zh-CN"/>
        </w:rPr>
        <w:t>23日前报送进展情况统计表。</w:t>
      </w:r>
    </w:p>
    <w:p>
      <w:bookmarkStart w:id="0" w:name="_GoBack"/>
      <w:bookmarkEnd w:id="0"/>
    </w:p>
    <w:sectPr>
      <w:pgSz w:w="16838" w:h="11906" w:orient="landscape"/>
      <w:pgMar w:top="1417" w:right="907" w:bottom="1134" w:left="907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325D"/>
    <w:rsid w:val="2CD9325D"/>
    <w:rsid w:val="2E1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2023-08-28T09:16:00Z</dcterms:created>
  <dc:creator>Administrator</dc:creator>
  <cp:lastModifiedBy>Administrator</cp:lastModifiedBy>
  <dcterms:modified xsi:type="dcterms:W3CDTF">2023-08-28T09:18:56Z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