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360" w:lineRule="auto"/>
        <w:jc w:val="both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1" w:name="_GoBack"/>
      <w:bookmarkStart w:id="0" w:name="_Toc121753802"/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  <w:t>附表7 曲靖市“十四五”重现土著鱼类或水生植物的水体清单</w:t>
      </w:r>
      <w:bookmarkEnd w:id="0"/>
    </w:p>
    <w:bookmarkEnd w:id="1"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3"/>
        <w:gridCol w:w="1372"/>
        <w:gridCol w:w="1321"/>
        <w:gridCol w:w="1134"/>
        <w:gridCol w:w="850"/>
        <w:gridCol w:w="561"/>
        <w:gridCol w:w="1355"/>
        <w:gridCol w:w="1140"/>
        <w:gridCol w:w="967"/>
        <w:gridCol w:w="967"/>
        <w:gridCol w:w="1052"/>
        <w:gridCol w:w="967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区县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水资源三级区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控制断面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水体名称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水体类型</w:t>
            </w:r>
          </w:p>
        </w:tc>
        <w:tc>
          <w:tcPr>
            <w:tcW w:w="3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土著鱼类</w:t>
            </w:r>
          </w:p>
        </w:tc>
        <w:tc>
          <w:tcPr>
            <w:tcW w:w="29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土著水生植物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预计重现年度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俗称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学名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消失的历史年份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俗称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学名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消失的历史年份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/</w:t>
            </w:r>
          </w:p>
        </w:tc>
      </w:tr>
    </w:tbl>
    <w:p>
      <w:pPr>
        <w:widowControl/>
        <w:rPr>
          <w:rFonts w:hint="default" w:ascii="Times New Roman" w:hAnsi="Times New Roman" w:eastAsia="方正仿宋_GBK" w:cs="Times New Roman"/>
          <w:kern w:val="0"/>
          <w:sz w:val="22"/>
        </w:rPr>
      </w:pPr>
      <w:r>
        <w:rPr>
          <w:rFonts w:hint="default" w:ascii="Times New Roman" w:hAnsi="Times New Roman" w:eastAsia="方正仿宋_GBK" w:cs="Times New Roman"/>
          <w:kern w:val="0"/>
          <w:sz w:val="22"/>
        </w:rPr>
        <w:t>注：曲靖市“十四五”期间无重现土著鱼类或水生植物的水体目标。</w:t>
      </w:r>
    </w:p>
    <w:p>
      <w:pPr>
        <w:rPr>
          <w:rFonts w:hint="default" w:ascii="Times New Roman" w:hAnsi="Times New Roman" w:eastAsia="方正仿宋_GBK" w:cs="Times New Roman"/>
        </w:rPr>
      </w:pPr>
    </w:p>
    <w:p/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042173F9"/>
    <w:rsid w:val="21E33D15"/>
    <w:rsid w:val="303834E1"/>
    <w:rsid w:val="55B87296"/>
    <w:rsid w:val="5CF11C54"/>
    <w:rsid w:val="6CA529D8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