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i w:val="0"/>
          <w:color w:val="000000"/>
          <w:spacing w:val="0"/>
          <w:kern w:val="0"/>
          <w:sz w:val="32"/>
          <w:szCs w:val="32"/>
          <w:lang w:val="en-US" w:eastAsia="zh-CN" w:bidi="ar"/>
        </w:rPr>
      </w:pPr>
      <w:r>
        <w:rPr>
          <w:rFonts w:hint="eastAsia" w:ascii="方正黑体_GBK" w:hAnsi="方正黑体_GBK" w:eastAsia="方正黑体_GBK" w:cs="方正黑体_GBK"/>
          <w:i w:val="0"/>
          <w:color w:val="000000"/>
          <w:spacing w:val="0"/>
          <w:kern w:val="0"/>
          <w:sz w:val="32"/>
          <w:szCs w:val="32"/>
          <w:lang w:val="en-US" w:eastAsia="zh-CN" w:bidi="ar"/>
        </w:rPr>
        <w:t>附件1</w:t>
      </w:r>
      <w:bookmarkStart w:id="0" w:name="_GoBack"/>
      <w:bookmarkEnd w:id="0"/>
    </w:p>
    <w:p>
      <w:pPr>
        <w:jc w:val="center"/>
      </w:pPr>
      <w:r>
        <w:rPr>
          <w:rFonts w:hint="eastAsia" w:ascii="Times New Roman" w:hAnsi="Times New Roman" w:eastAsia="方正小标宋_GBK"/>
          <w:spacing w:val="0"/>
          <w:sz w:val="40"/>
          <w:szCs w:val="40"/>
          <w:lang w:val="en-US" w:eastAsia="zh-CN"/>
        </w:rPr>
        <w:t>曲靖市养老机构重点检查事项清单（试行）</w:t>
      </w:r>
    </w:p>
    <w:tbl>
      <w:tblPr>
        <w:tblStyle w:val="4"/>
        <w:tblW w:w="138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4"/>
        <w:gridCol w:w="1335"/>
        <w:gridCol w:w="2460"/>
        <w:gridCol w:w="2220"/>
        <w:gridCol w:w="2250"/>
        <w:gridCol w:w="4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blHeader/>
        </w:trPr>
        <w:tc>
          <w:tcPr>
            <w:tcW w:w="7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379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检查项目</w:t>
            </w:r>
          </w:p>
        </w:tc>
        <w:tc>
          <w:tcPr>
            <w:tcW w:w="22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检查方式</w:t>
            </w:r>
          </w:p>
        </w:tc>
        <w:tc>
          <w:tcPr>
            <w:tcW w:w="22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检查主体</w:t>
            </w:r>
          </w:p>
        </w:tc>
        <w:tc>
          <w:tcPr>
            <w:tcW w:w="48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5"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建筑消防设计审查和验收监督检查</w:t>
            </w:r>
          </w:p>
        </w:tc>
        <w:tc>
          <w:tcPr>
            <w:tcW w:w="246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建筑消防设计审查和验收情况的检查</w:t>
            </w:r>
          </w:p>
        </w:tc>
        <w:tc>
          <w:tcPr>
            <w:tcW w:w="222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市、县(市、区)住房和城乡建设部门及宣威市、会泽县、富源县行政审批局</w:t>
            </w:r>
          </w:p>
        </w:tc>
        <w:tc>
          <w:tcPr>
            <w:tcW w:w="486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5"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特种设备使用单位监督检查</w:t>
            </w:r>
          </w:p>
        </w:tc>
        <w:tc>
          <w:tcPr>
            <w:tcW w:w="246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对特种设备使用单位的监督检查</w:t>
            </w:r>
          </w:p>
        </w:tc>
        <w:tc>
          <w:tcPr>
            <w:tcW w:w="222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vMerge w:val="restart"/>
            <w:tcBorders>
              <w:top w:val="nil"/>
              <w:left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市级及</w:t>
            </w:r>
            <w:r>
              <w:rPr>
                <w:rStyle w:val="6"/>
                <w:sz w:val="22"/>
                <w:szCs w:val="22"/>
                <w:lang w:val="en-US" w:eastAsia="zh-CN" w:bidi="ar"/>
              </w:rPr>
              <w:t>以下</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市场监管部门</w:t>
            </w: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《中华人民共和国特种设备安全法》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5"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食品安全监督检查</w:t>
            </w:r>
          </w:p>
        </w:tc>
        <w:tc>
          <w:tcPr>
            <w:tcW w:w="246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对《食品经营许可证》的检查和食品安全符合有关法规的检查</w:t>
            </w:r>
          </w:p>
        </w:tc>
        <w:tc>
          <w:tcPr>
            <w:tcW w:w="222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vMerge w:val="restart"/>
            <w:tcBorders>
              <w:top w:val="nil"/>
              <w:left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市级及</w:t>
            </w:r>
            <w:r>
              <w:rPr>
                <w:rStyle w:val="6"/>
                <w:sz w:val="22"/>
                <w:szCs w:val="22"/>
                <w:lang w:val="en-US" w:eastAsia="zh-CN" w:bidi="ar"/>
              </w:rPr>
              <w:t>以下</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市场监管部门</w:t>
            </w: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《中华人民共和国食品安全法》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left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《中华人民共和国食品安全法实施条例》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left w:val="single" w:color="000000" w:sz="8" w:space="0"/>
              <w:bottom w:val="single" w:color="000000" w:sz="8" w:space="0"/>
              <w:right w:val="single" w:color="000000" w:sz="8" w:space="0"/>
            </w:tcBorders>
            <w:noWrap/>
            <w:vAlign w:val="center"/>
          </w:tcPr>
          <w:p>
            <w:pP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5"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医疗卫生服务监督检查</w:t>
            </w:r>
          </w:p>
        </w:tc>
        <w:tc>
          <w:tcPr>
            <w:tcW w:w="246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内设医疗机构执业许可和医疗卫生管理服务符合卫生健康部门相关法律法规规定的检查</w:t>
            </w:r>
          </w:p>
        </w:tc>
        <w:tc>
          <w:tcPr>
            <w:tcW w:w="222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vMerge w:val="restart"/>
            <w:tcBorders>
              <w:top w:val="nil"/>
              <w:left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市级及</w:t>
            </w:r>
            <w:r>
              <w:rPr>
                <w:rStyle w:val="6"/>
                <w:sz w:val="22"/>
                <w:szCs w:val="22"/>
                <w:lang w:val="en-US" w:eastAsia="zh-CN" w:bidi="ar"/>
              </w:rPr>
              <w:t>以下</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市场监管部门</w:t>
            </w: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《中华人民共和国执业医师法》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left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《中华人民共和国基本医疗卫生与健康促进法》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left w:val="single" w:color="000000" w:sz="8" w:space="0"/>
              <w:right w:val="single" w:color="000000" w:sz="8" w:space="0"/>
            </w:tcBorders>
            <w:noWrap/>
            <w:vAlign w:val="center"/>
          </w:tcPr>
          <w:p>
            <w:pP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left w:val="single" w:color="000000" w:sz="8" w:space="0"/>
              <w:bottom w:val="single" w:color="000000" w:sz="8" w:space="0"/>
              <w:right w:val="single" w:color="000000" w:sz="8" w:space="0"/>
            </w:tcBorders>
            <w:noWrap/>
            <w:vAlign w:val="center"/>
          </w:tcPr>
          <w:p>
            <w:pP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5"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消防安全检查</w:t>
            </w:r>
          </w:p>
        </w:tc>
        <w:tc>
          <w:tcPr>
            <w:tcW w:w="246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消防安全检查</w:t>
            </w:r>
          </w:p>
        </w:tc>
        <w:tc>
          <w:tcPr>
            <w:tcW w:w="222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250" w:type="dxa"/>
            <w:vMerge w:val="restart"/>
            <w:tcBorders>
              <w:top w:val="nil"/>
              <w:left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市级及</w:t>
            </w:r>
            <w:r>
              <w:rPr>
                <w:rStyle w:val="6"/>
                <w:sz w:val="22"/>
                <w:szCs w:val="22"/>
                <w:lang w:val="en-US" w:eastAsia="zh-CN" w:bidi="ar"/>
              </w:rPr>
              <w:t>以下</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消防救援机构</w:t>
            </w: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《云南省消防条例》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安全标志使用情况，如灭火器、应急照明灯、疏散通道、安全出口等检查</w:t>
            </w:r>
          </w:p>
        </w:tc>
        <w:tc>
          <w:tcPr>
            <w:tcW w:w="222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25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《中华人民共和国老年人权益保障法》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《养老机构服务安全基本规范》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服务质量安全检查</w:t>
            </w:r>
          </w:p>
        </w:tc>
        <w:tc>
          <w:tcPr>
            <w:tcW w:w="24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养老护理员培训情况的检查</w:t>
            </w:r>
          </w:p>
        </w:tc>
        <w:tc>
          <w:tcPr>
            <w:tcW w:w="22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昼夜巡查、交接班制度实施情况的检查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老年人个人信息和监控内容保密制度实施情况的检查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防止兜售保健食品、药品措施的检查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污染织物单独清洗、消毒、处置情况的检查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老年人生活、活动区域禁止吸烟情况的检查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入住养老机构服务安全风险评估情况的检查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防噎食措施的检查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防食品药品误食措施的检查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防压疮措施的检查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防烫伤措施的检查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防坠床措施的检查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防跌倒措施的检查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防他伤和自伤措施的检查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防走失措施的检查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防文娱活动意外措施的检查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服务安全风险防范评价工作的检查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安全隐患排查整改情况的检查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4"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35"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资金安全监督检查</w:t>
            </w:r>
          </w:p>
        </w:tc>
        <w:tc>
          <w:tcPr>
            <w:tcW w:w="246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安全教育开展情况的检查</w:t>
            </w:r>
          </w:p>
        </w:tc>
        <w:tc>
          <w:tcPr>
            <w:tcW w:w="222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《防范和处置非法集资条例》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48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74"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涉嫌非法集资、预收费行为的检查检查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7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突发事件应对监督检查</w:t>
            </w: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制定突发事件应急预案，配备应急救援设备、设施，定期开展突发事件应急演练情况的检查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7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从业人员监督检查</w:t>
            </w:r>
          </w:p>
        </w:tc>
        <w:tc>
          <w:tcPr>
            <w:tcW w:w="24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从事医疗、康复、消防等服务人员职业资格的检查</w:t>
            </w:r>
          </w:p>
        </w:tc>
        <w:tc>
          <w:tcPr>
            <w:tcW w:w="222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25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县级以上民政部门</w:t>
            </w:r>
          </w:p>
        </w:tc>
        <w:tc>
          <w:tcPr>
            <w:tcW w:w="486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《养老机构管理办法》</w:t>
            </w:r>
          </w:p>
        </w:tc>
      </w:tr>
    </w:tbl>
    <w:p>
      <w:pPr>
        <w:bidi w:val="0"/>
      </w:pPr>
    </w:p>
    <w:p>
      <w:pPr>
        <w:bidi w:val="0"/>
      </w:pPr>
    </w:p>
    <w:p>
      <w:pPr>
        <w:bidi w:val="0"/>
      </w:pPr>
    </w:p>
    <w:p>
      <w:pPr>
        <w:bidi w:val="0"/>
      </w:pPr>
    </w:p>
    <w:p/>
    <w:p>
      <w:pPr>
        <w:bidi w:val="0"/>
      </w:pPr>
    </w:p>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5CE3"/>
    <w:multiLevelType w:val="multilevel"/>
    <w:tmpl w:val="591A5CE3"/>
    <w:lvl w:ilvl="0" w:tentative="0">
      <w:start w:val="1"/>
      <w:numFmt w:val="chineseCountingThousand"/>
      <w:suff w:val="space"/>
      <w:lvlText w:val="第%1章"/>
      <w:lvlJc w:val="left"/>
      <w:pPr>
        <w:ind w:left="0" w:firstLine="0"/>
      </w:pPr>
      <w:rPr>
        <w:rFonts w:hint="eastAsia"/>
      </w:rPr>
    </w:lvl>
    <w:lvl w:ilvl="1" w:tentative="0">
      <w:start w:val="1"/>
      <w:numFmt w:val="decimal"/>
      <w:pStyle w:val="2"/>
      <w:isLgl/>
      <w:suff w:val="space"/>
      <w:lvlText w:val="%1.%2"/>
      <w:lvlJc w:val="left"/>
      <w:pPr>
        <w:tabs>
          <w:tab w:val="left" w:pos="0"/>
        </w:tabs>
        <w:ind w:left="567" w:hanging="567"/>
      </w:pPr>
      <w:rPr>
        <w:rFonts w:hint="eastAsia" w:ascii="仿宋_GB2312" w:hAnsi="仿宋_GB2312" w:cs="Times New Roman"/>
        <w:b/>
        <w:bCs w:val="0"/>
        <w:i w:val="0"/>
        <w:iCs w:val="0"/>
        <w:caps w:val="0"/>
        <w:smallCaps w:val="0"/>
        <w:strike w:val="0"/>
        <w:dstrike w:val="0"/>
        <w:vanish w:val="0"/>
        <w:color w:val="auto"/>
        <w:spacing w:val="0"/>
        <w:position w:val="0"/>
        <w:u w:val="none"/>
        <w:vertAlign w:val="baseline"/>
      </w:rPr>
    </w:lvl>
    <w:lvl w:ilvl="2" w:tentative="0">
      <w:start w:val="1"/>
      <w:numFmt w:val="decimal"/>
      <w:isLgl/>
      <w:suff w:val="space"/>
      <w:lvlText w:val="%1.%2.%3"/>
      <w:lvlJc w:val="left"/>
      <w:pPr>
        <w:ind w:left="709" w:hanging="709"/>
      </w:pPr>
      <w:rPr>
        <w:rFonts w:hint="eastAsia" w:ascii="Times New Roman" w:hAnsi="Times New Roman" w:eastAsia="宋体" w:cs="Times New Roman"/>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992" w:hanging="992"/>
      </w:pPr>
      <w:rPr>
        <w:rFonts w:hint="eastAsia"/>
      </w:rPr>
    </w:lvl>
    <w:lvl w:ilvl="5" w:tentative="0">
      <w:start w:val="1"/>
      <w:numFmt w:val="decimal"/>
      <w:isLgl/>
      <w:lvlText w:val="%1.%2.%3.%4.%5.%6"/>
      <w:lvlJc w:val="left"/>
      <w:pPr>
        <w:tabs>
          <w:tab w:val="left" w:pos="1134"/>
        </w:tabs>
        <w:ind w:left="1134" w:hanging="1134"/>
      </w:pPr>
      <w:rPr>
        <w:rFonts w:hint="eastAsia"/>
      </w:rPr>
    </w:lvl>
    <w:lvl w:ilvl="6" w:tentative="0">
      <w:start w:val="1"/>
      <w:numFmt w:val="decimal"/>
      <w:isLgl/>
      <w:lvlText w:val="%1.%2.%3.%4.%5.%6.%7"/>
      <w:lvlJc w:val="left"/>
      <w:pPr>
        <w:tabs>
          <w:tab w:val="left" w:pos="1276"/>
        </w:tabs>
        <w:ind w:left="1276" w:hanging="1276"/>
      </w:pPr>
      <w:rPr>
        <w:rFonts w:hint="eastAsia"/>
      </w:rPr>
    </w:lvl>
    <w:lvl w:ilvl="7" w:tentative="0">
      <w:start w:val="1"/>
      <w:numFmt w:val="decimal"/>
      <w:isLgl/>
      <w:lvlText w:val="%1.%2.%3.%4.%5.%6.%7.%8"/>
      <w:lvlJc w:val="left"/>
      <w:pPr>
        <w:tabs>
          <w:tab w:val="left" w:pos="1418"/>
        </w:tabs>
        <w:ind w:left="1418" w:hanging="1418"/>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34226"/>
    <w:rsid w:val="64E3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numPr>
        <w:ilvl w:val="1"/>
        <w:numId w:val="1"/>
      </w:numPr>
      <w:spacing w:before="260" w:after="260" w:line="415" w:lineRule="auto"/>
      <w:jc w:val="left"/>
      <w:outlineLvl w:val="1"/>
    </w:pPr>
    <w:rPr>
      <w:rFonts w:ascii="Times New Roman" w:hAnsi="Times New Roman" w:eastAsia="黑体"/>
      <w:b/>
      <w:bCs/>
      <w:sz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customStyle="1" w:styleId="6">
    <w:name w:val="font2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2023-02-02T09:16:00Z</dcterms:created>
  <dc:creator>Administrator</dc:creator>
  <cp:lastModifiedBy>Administrator</cp:lastModifiedBy>
  <dcterms:modified xsi:type="dcterms:W3CDTF">2023-02-02T09:19:09Z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