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曲靖市2020年国民经济和社会发展统计公报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</w:rPr>
        <w:t>曲 靖 市 统 计 局</w:t>
      </w:r>
    </w:p>
    <w:p>
      <w:pPr>
        <w:pStyle w:val="2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</w:rPr>
        <w:t>国家统计局曲靖调查队</w:t>
      </w:r>
    </w:p>
    <w:p>
      <w:pPr>
        <w:pStyle w:val="2"/>
        <w:ind w:left="0" w:leftChars="0" w:firstLine="0" w:firstLineChars="0"/>
        <w:jc w:val="center"/>
      </w:pPr>
      <w:r>
        <w:rPr>
          <w:rFonts w:hint="eastAsia"/>
        </w:rPr>
        <w:t>2021年4月2日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2020年，面对严峻复杂的国内外环境特别是新冠肺炎疫情严重冲击，在以习近平同志为核心的党中央坚强领导下，曲靖市委市政府早安排、早部署、早行动，全市各地区各部门坚持稳中求进工作总基调，统筹疫情防控和经济社会发展工作，扎实做好“六稳”工作、全面落实“六保”任务，全市全年经济保持平稳增长。</w:t>
      </w:r>
    </w:p>
    <w:p>
      <w:pPr>
        <w:widowControl/>
        <w:spacing w:line="50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一、综合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初步</w:t>
      </w:r>
      <w:r>
        <w:rPr>
          <w:rFonts w:hint="eastAsia" w:ascii="宋体" w:hAnsi="宋体" w:cs="宋体"/>
          <w:sz w:val="24"/>
        </w:rPr>
        <w:t>核</w:t>
      </w:r>
      <w:r>
        <w:rPr>
          <w:rFonts w:ascii="宋体" w:hAnsi="宋体" w:cs="宋体"/>
          <w:sz w:val="24"/>
        </w:rPr>
        <w:t>算，20</w:t>
      </w:r>
      <w:r>
        <w:rPr>
          <w:rFonts w:hint="eastAsia" w:ascii="宋体" w:hAnsi="宋体" w:cs="宋体"/>
          <w:sz w:val="24"/>
        </w:rPr>
        <w:t>20</w:t>
      </w:r>
      <w:r>
        <w:rPr>
          <w:rFonts w:ascii="宋体" w:hAnsi="宋体" w:cs="宋体"/>
          <w:sz w:val="24"/>
        </w:rPr>
        <w:t>年全市实现地区生产总值2959.35亿元，按可比价计算比上年增长6.6%</w:t>
      </w:r>
      <w:r>
        <w:rPr>
          <w:rFonts w:hint="eastAsia" w:ascii="宋体" w:hAnsi="宋体" w:cs="宋体"/>
          <w:sz w:val="24"/>
        </w:rPr>
        <w:t>，高于全国4.</w:t>
      </w:r>
      <w:bookmarkStart w:id="0" w:name="_GoBack"/>
      <w:bookmarkEnd w:id="0"/>
      <w:r>
        <w:rPr>
          <w:rFonts w:hint="eastAsia" w:ascii="宋体" w:hAnsi="宋体" w:cs="宋体"/>
          <w:sz w:val="24"/>
        </w:rPr>
        <w:t>3个百分点，高于全省2.6个百分点。</w:t>
      </w:r>
      <w:r>
        <w:rPr>
          <w:rFonts w:ascii="宋体" w:hAnsi="宋体" w:cs="宋体"/>
          <w:sz w:val="24"/>
        </w:rPr>
        <w:t>其中：第一产业实现增加值553.53亿元，增长5.9%，对经济增长的贡献率为14.2%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拉动GDP增长0.94个百分点；第二产业实现增加值1094.92亿元，增长7.0%，对经济增长贡献率为44.4%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拉动GDP增长2.93个百分点；第三产业实现增加值1310.9</w:t>
      </w:r>
      <w:r>
        <w:rPr>
          <w:rFonts w:hint="eastAsia" w:ascii="宋体" w:hAnsi="宋体" w:cs="宋体"/>
          <w:sz w:val="24"/>
        </w:rPr>
        <w:t>0</w:t>
      </w:r>
      <w:r>
        <w:rPr>
          <w:rFonts w:ascii="宋体" w:hAnsi="宋体" w:cs="宋体"/>
          <w:sz w:val="24"/>
        </w:rPr>
        <w:t>亿元，增长6.5%，对经济增长的贡献率为41.4%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拉动GDP增长2.73个百分点。三次产业结构为18.7:37.0:44.3。人均GDP</w:t>
      </w:r>
      <w:r>
        <w:rPr>
          <w:rFonts w:hint="eastAsia" w:ascii="宋体" w:hAnsi="宋体" w:cs="宋体"/>
          <w:sz w:val="24"/>
        </w:rPr>
        <w:t>预计</w:t>
      </w:r>
      <w:r>
        <w:rPr>
          <w:rFonts w:ascii="宋体" w:hAnsi="宋体" w:cs="宋体"/>
          <w:sz w:val="24"/>
        </w:rPr>
        <w:t>达到47730元，</w:t>
      </w:r>
      <w:r>
        <w:rPr>
          <w:rFonts w:hint="eastAsia" w:ascii="宋体" w:hAnsi="宋体" w:cs="宋体"/>
          <w:sz w:val="24"/>
        </w:rPr>
        <w:t>比上年</w:t>
      </w:r>
      <w:r>
        <w:rPr>
          <w:rFonts w:ascii="宋体" w:hAnsi="宋体" w:cs="宋体"/>
          <w:sz w:val="24"/>
        </w:rPr>
        <w:t>增长6.0%。非公经济增加值实现1495.29亿元，</w:t>
      </w:r>
      <w:r>
        <w:rPr>
          <w:rFonts w:hint="eastAsia" w:ascii="宋体" w:hAnsi="宋体" w:cs="宋体"/>
          <w:sz w:val="24"/>
        </w:rPr>
        <w:t>比上年增长6.0%，</w:t>
      </w:r>
      <w:r>
        <w:rPr>
          <w:rFonts w:ascii="宋体" w:hAnsi="宋体" w:cs="宋体"/>
          <w:sz w:val="24"/>
        </w:rPr>
        <w:t>占</w:t>
      </w:r>
      <w:r>
        <w:rPr>
          <w:rFonts w:hint="eastAsia" w:ascii="宋体" w:hAnsi="宋体" w:cs="宋体"/>
          <w:sz w:val="24"/>
        </w:rPr>
        <w:t>地区</w:t>
      </w:r>
      <w:r>
        <w:rPr>
          <w:rFonts w:ascii="宋体" w:hAnsi="宋体" w:cs="宋体"/>
          <w:sz w:val="24"/>
        </w:rPr>
        <w:t>生产总值的比重</w:t>
      </w:r>
      <w:r>
        <w:rPr>
          <w:rFonts w:hint="eastAsia" w:ascii="宋体" w:hAnsi="宋体" w:cs="宋体"/>
          <w:sz w:val="24"/>
        </w:rPr>
        <w:t>为</w:t>
      </w:r>
      <w:r>
        <w:rPr>
          <w:rFonts w:ascii="宋体" w:hAnsi="宋体" w:cs="宋体"/>
          <w:sz w:val="24"/>
        </w:rPr>
        <w:t>50.5%，比上年下降0.5个百分点。</w:t>
      </w:r>
    </w:p>
    <w:p>
      <w:pPr>
        <w:pStyle w:val="2"/>
      </w:pPr>
    </w:p>
    <w:p>
      <w:pPr>
        <w:pStyle w:val="2"/>
        <w:ind w:left="0" w:leftChars="0" w:firstLine="0" w:firstLineChars="0"/>
      </w:pPr>
      <w:r>
        <w:rPr>
          <w:rFonts w:hint="eastAsia"/>
        </w:rPr>
        <w:t xml:space="preserve">    </w:t>
      </w:r>
      <w:r>
        <w:rPr>
          <w:rFonts w:hint="eastAsia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  <w:r>
        <w:rPr>
          <w:rFonts w:hint="eastAsia"/>
        </w:rPr>
        <w:t xml:space="preserve">    </w:t>
      </w:r>
      <w:r>
        <w:drawing>
          <wp:inline distT="0" distB="0" distL="114300" distR="114300">
            <wp:extent cx="4584065" cy="2755265"/>
            <wp:effectExtent l="0" t="0" r="6985" b="698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全市财政总收入达435.52亿元，比上年增长5.7%；一般公共预算收入155.05亿元，增长4.0%；其中：税收收入105.63亿元，下降3.2%；在税收收入中，企业所得税收入5.9亿元，增长13.7%。全年一般公共预算支出532.24亿元，下降1.7%。全年用于教育支出123.1亿元、社会保障和就业支出76.9亿元、卫生健康支出66.5亿元，分别增长4.4%、19.5%和12.0%。</w:t>
      </w:r>
    </w:p>
    <w:p>
      <w:pPr>
        <w:pStyle w:val="2"/>
      </w:pPr>
    </w:p>
    <w:p>
      <w:pPr>
        <w:pStyle w:val="2"/>
      </w:pPr>
      <w:r>
        <w:rPr>
          <w:rFonts w:hint="eastAsia"/>
        </w:rPr>
        <w:drawing>
          <wp:inline distT="0" distB="0" distL="114300" distR="114300">
            <wp:extent cx="4584065" cy="2755265"/>
            <wp:effectExtent l="0" t="0" r="6985" b="6985"/>
            <wp:docPr id="10" name="图片 10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全市居民消费价格（CPI）上涨 3.4%，工业生产者出厂价格（PPI）下降3.9%。</w:t>
      </w:r>
    </w:p>
    <w:p>
      <w:pPr>
        <w:widowControl/>
        <w:spacing w:line="500" w:lineRule="exact"/>
        <w:ind w:firstLine="482" w:firstLineChars="200"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500" w:lineRule="exact"/>
        <w:ind w:firstLine="482" w:firstLineChars="200"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500" w:lineRule="exact"/>
        <w:ind w:firstLine="482" w:firstLineChars="200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表1  2020年曲靖市居民消费价格指数</w:t>
      </w:r>
    </w:p>
    <w:p>
      <w:pPr>
        <w:pStyle w:val="2"/>
        <w:ind w:firstLine="482"/>
        <w:rPr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 单位：%</w:t>
      </w:r>
    </w:p>
    <w:tbl>
      <w:tblPr>
        <w:tblStyle w:val="8"/>
        <w:tblW w:w="6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3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价格指数（上年同期=100）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居民消费价格总指数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 食品烟酒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衣着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居住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生活用品及服务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交通和通信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教育文化和娱乐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医疗保健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其他用品和服务</w:t>
            </w:r>
          </w:p>
        </w:tc>
        <w:tc>
          <w:tcPr>
            <w:tcW w:w="3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101.3</w:t>
            </w:r>
          </w:p>
        </w:tc>
      </w:tr>
    </w:tbl>
    <w:p/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2020年新增农村劳动力转移输出就业17.92万人，新增城镇就业3.73万人，城镇登记失业率4.31%。</w:t>
      </w:r>
    </w:p>
    <w:p>
      <w:pPr>
        <w:pStyle w:val="2"/>
        <w:spacing w:line="360" w:lineRule="auto"/>
        <w:ind w:left="0" w:leftChars="0"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按照国家统计局每人每年生活水平2300元（2010年不变价）的现行农村贫困标准测算，2020年全市10万农村贫困人口全部实现脱贫。党的十八大以来，全市82.72万农村贫困人口全部脱贫，5个贫困县全部摘帽，1203个贫困村全部出列，绝对贫困历史性消除。</w:t>
      </w:r>
    </w:p>
    <w:p>
      <w:pPr>
        <w:pStyle w:val="2"/>
        <w:spacing w:line="360" w:lineRule="auto"/>
        <w:ind w:left="0" w:leftChars="0"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全市森林覆盖率50.1%。主城区空气质量优良率达99.7%。各污染物年平均浓度中，二氧化硫11微克/立方米，与上年持平；二氧化氮16微克/立方米，比上年下降5.9%；可吸入颗粒物（PM10）35微克/立方米，下降14.6%，细颗粒物（PM2.5）20微克/立方米，下降4.8%。</w:t>
      </w:r>
    </w:p>
    <w:p>
      <w:pPr>
        <w:pStyle w:val="2"/>
        <w:spacing w:line="360" w:lineRule="auto"/>
        <w:ind w:left="0" w:leftChars="0"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5个</w:t>
      </w:r>
      <w:r>
        <w:rPr>
          <w:rFonts w:asciiTheme="minorEastAsia" w:hAnsiTheme="minorEastAsia" w:eastAsiaTheme="minorEastAsia" w:cstheme="minorEastAsia"/>
          <w:sz w:val="24"/>
        </w:rPr>
        <w:t>国家地表水考核断面中，全年水质优良（Ⅰ～Ⅲ类）断面比例</w:t>
      </w:r>
      <w:r>
        <w:rPr>
          <w:rFonts w:hint="eastAsia" w:asciiTheme="minorEastAsia" w:hAnsiTheme="minorEastAsia" w:eastAsiaTheme="minorEastAsia" w:cstheme="minorEastAsia"/>
          <w:sz w:val="24"/>
        </w:rPr>
        <w:t>为100%。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二、农业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2020年，全市实现农林牧渔业总产值911.13亿元，按可比价计算比上年增长5.9%。其中，农业产值326.38亿元，增长5.2%，林业产值28.16亿元，增长4.2%，牧业产值520.49亿元，增长6.8%，渔业产值14.05亿元，增长1.3%，农林牧渔专业及辅助性活动产值22.05亿元，增长5.9%。全市实现农林牧渔业增加值559.57亿元，按可比价计算比上年增长5.9%。全年粮食播种面积945.54万亩，增长0.1%；粮食总产量324.08万吨，增长1.4%；油料产量20.95万吨，增长4.3%；烤烟产量15.91万吨，下降5.6%；蔬菜及食用菌种植面积270.00万亩，增长5.0%，产量341.16万吨,增长10.4%；花卉产量3.64亿枝，增长23.2%；水果产量32.12万吨，增长5.5%；</w:t>
      </w:r>
      <w:r>
        <w:rPr>
          <w:rFonts w:ascii="宋体" w:hAnsi="宋体" w:cs="Tahoma"/>
          <w:kern w:val="0"/>
          <w:sz w:val="24"/>
        </w:rPr>
        <w:t>中药材产量</w:t>
      </w:r>
      <w:r>
        <w:rPr>
          <w:rFonts w:hint="eastAsia" w:ascii="宋体" w:hAnsi="宋体" w:cs="Tahoma"/>
          <w:kern w:val="0"/>
          <w:sz w:val="24"/>
        </w:rPr>
        <w:t>11.54万吨，</w:t>
      </w:r>
      <w:r>
        <w:rPr>
          <w:rFonts w:ascii="宋体" w:hAnsi="宋体" w:cs="Tahoma"/>
          <w:kern w:val="0"/>
          <w:sz w:val="24"/>
        </w:rPr>
        <w:t>增长</w:t>
      </w:r>
      <w:r>
        <w:rPr>
          <w:rFonts w:hint="eastAsia" w:ascii="宋体" w:hAnsi="宋体" w:cs="Tahoma"/>
          <w:kern w:val="0"/>
          <w:sz w:val="24"/>
        </w:rPr>
        <w:t>8.5</w:t>
      </w:r>
      <w:r>
        <w:rPr>
          <w:rFonts w:ascii="宋体" w:hAnsi="宋体" w:cs="Tahoma"/>
          <w:kern w:val="0"/>
          <w:sz w:val="24"/>
        </w:rPr>
        <w:t>%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pStyle w:val="2"/>
      </w:pPr>
      <w:r>
        <w:rPr>
          <w:rFonts w:hint="eastAsia"/>
        </w:rPr>
        <w:drawing>
          <wp:inline distT="0" distB="0" distL="114300" distR="114300">
            <wp:extent cx="4584065" cy="2755265"/>
            <wp:effectExtent l="0" t="0" r="6985" b="6985"/>
            <wp:docPr id="11" name="图片 1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cs="宋体"/>
          <w:bCs/>
          <w:kern w:val="0"/>
          <w:sz w:val="24"/>
        </w:rPr>
        <w:t>全年猪牛羊禽肉产量96.80万吨，增长2.1%；牛奶产量4.46万吨，增长58.7%；禽蛋产量3.79万吨，增长6.3%。</w:t>
      </w:r>
    </w:p>
    <w:p>
      <w:pPr>
        <w:widowControl/>
        <w:ind w:firstLine="482" w:firstLineChars="20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表2  2020年曲靖市主要农产品产量及增速</w:t>
      </w:r>
    </w:p>
    <w:tbl>
      <w:tblPr>
        <w:tblStyle w:val="8"/>
        <w:tblW w:w="6581" w:type="dxa"/>
        <w:tblInd w:w="10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80"/>
        <w:gridCol w:w="1280"/>
        <w:gridCol w:w="1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产量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比上年增长（%）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农业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粮食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324.08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20.95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烤烟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15.91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11.54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蔬菜及食用菌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341.16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花卉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3.64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全口径水果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32.12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其中：园林水果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27.50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瓜果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牧业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年末生猪存栏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755.11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年末牛存栏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121.62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年末羊存栏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286.30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年末家禽存栏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1488.63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出栏猪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877.25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出栏牛</w:t>
            </w:r>
          </w:p>
        </w:tc>
        <w:tc>
          <w:tcPr>
            <w:tcW w:w="12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万头</w:t>
            </w:r>
          </w:p>
        </w:tc>
        <w:tc>
          <w:tcPr>
            <w:tcW w:w="1280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61.78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出栏羊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277.94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出栏家禽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3168.31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猪肉产量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75.17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牛肉产量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8.55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羊肉产量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5.41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禽肉产量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7.67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禽蛋产量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3.79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蚕茧产量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1.06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-12.8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牛奶产量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4.46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渔业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水产品产量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8.93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-23.7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三、工业和建筑业</w:t>
      </w:r>
    </w:p>
    <w:p>
      <w:pPr>
        <w:widowControl/>
        <w:spacing w:before="75" w:after="75"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全年全部工业增加值实现822.81亿元，按可比价计算比上年增长6.1%，对经济增长贡献率为31.0%，拉动GDP增长2.04个百分点。</w:t>
      </w:r>
      <w:r>
        <w:rPr>
          <w:rFonts w:hint="eastAsia" w:ascii="宋体" w:hAnsi="宋体" w:cs="Tahoma"/>
          <w:kern w:val="0"/>
          <w:sz w:val="24"/>
        </w:rPr>
        <w:t>规模以上工业增加值比上年增长6.8%，其中：采矿业增长0.8%，制造业增长6.5%，电力、燃气和水的生产和供应业增长9.7%。主要产业中: 黑色金属冶炼及压延加工业增长32.6%，煤炭开采和洗选业增长0.4%，石油、煤炭及其他燃料加工业增长9.7%，电力、热力的生产和供应业增长8.3%，非金属矿物制品业增长8.9%，有色金属冶炼及压延加工业增长10.7%，酒、饮料和精制茶制造业下降41.6%，化学原料及化学制品制造业下降2.6%，烟草制品业增长0.6%，农副食品加工业增长13.6%，全市665户规模以上工业企业实现利税总额264.03亿元，亏损27.71亿元。</w:t>
      </w:r>
    </w:p>
    <w:p>
      <w:pPr>
        <w:widowControl/>
        <w:spacing w:line="360" w:lineRule="auto"/>
        <w:ind w:firstLine="480" w:firstLineChars="200"/>
        <w:jc w:val="left"/>
        <w:rPr>
          <w:bCs/>
        </w:rPr>
      </w:pPr>
      <w:r>
        <w:rPr>
          <w:rFonts w:hint="eastAsia" w:ascii="宋体" w:hAnsi="宋体" w:cs="宋体"/>
          <w:bCs/>
          <w:kern w:val="0"/>
          <w:sz w:val="24"/>
        </w:rPr>
        <w:t>全年规模以上工业原煤产量2594.25万吨，增长4.3%；水泥产量1576.91万吨，下降0.4%；焦炭产量853.27万吨，增长13.0%；钢材产量683.84万吨，增长25.4%；发电量242.75亿千瓦时，增长22.6%；生产汽车14907辆，增长15.4%；生铁产量477.79万吨，下降0.3%；十种有色金属产量127.39万吨，下降3.7%。</w:t>
      </w:r>
    </w:p>
    <w:p>
      <w:pPr>
        <w:widowControl/>
        <w:ind w:firstLine="482" w:firstLineChars="200"/>
        <w:jc w:val="center"/>
        <w:rPr>
          <w:rFonts w:ascii="宋体" w:hAnsi="宋体" w:cs="宋体"/>
          <w:b/>
          <w:kern w:val="0"/>
          <w:sz w:val="24"/>
        </w:rPr>
      </w:pPr>
    </w:p>
    <w:p>
      <w:pPr>
        <w:widowControl/>
        <w:ind w:firstLine="482" w:firstLineChars="20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表3  2020年曲靖市规模以上工业主要产品产量及增速</w:t>
      </w:r>
    </w:p>
    <w:tbl>
      <w:tblPr>
        <w:tblStyle w:val="8"/>
        <w:tblW w:w="7781" w:type="dxa"/>
        <w:tblInd w:w="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1607"/>
        <w:gridCol w:w="1293"/>
        <w:gridCol w:w="1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2" w:firstLineChars="20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产量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01" w:firstLineChars="10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比上年增长（%）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原煤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2594.25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焦炭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853.27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发电量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242.75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辆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14907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十种有色金属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127.39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</w:pPr>
            <w:r>
              <w:rPr>
                <w:rFonts w:hint="eastAsia"/>
              </w:rPr>
              <w:t>其中：锌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60.54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铝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53.17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水泥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1576.91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生铁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477.79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15.03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合成氨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50.23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农用氮、磷、钾化学肥料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28.20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-41.0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钢材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万吨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683.84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平板玻璃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万重量箱</w:t>
            </w:r>
          </w:p>
        </w:tc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1217.26</w:t>
            </w:r>
          </w:p>
        </w:tc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50.2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b/>
          <w:i/>
          <w:iCs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全年全社会建筑业增加值273.04亿元，比上年增长10.4%。全市具有资质等级的总承包和专业承包建筑业企业完成总产值588.65亿元，比上年增长16.9%。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四、固定资产投资和房地产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全市完成固定资产投资（不含农户）比上年增长10.6%，其中：第一产业投资增长121.4%；第二产业投资增长12.1%，其中工业投资增长12.1%；第三产业投资下降0.7%。民间投资增长28.1%，占全市固定资产投资的61.3%；基础设施投资增长13.8%，占全市固定资产投资的26.0%。</w:t>
      </w:r>
    </w:p>
    <w:p>
      <w:pPr>
        <w:pStyle w:val="2"/>
        <w:ind w:firstLine="48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drawing>
          <wp:inline distT="0" distB="0" distL="114300" distR="114300">
            <wp:extent cx="4584065" cy="2755265"/>
            <wp:effectExtent l="0" t="0" r="6985" b="6985"/>
            <wp:docPr id="12" name="图片 1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 w:firstLineChars="200"/>
        <w:jc w:val="center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line="360" w:lineRule="auto"/>
        <w:ind w:firstLine="482" w:firstLineChars="20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表4  2020年曲靖市分行业固定资产投资增速</w:t>
      </w:r>
    </w:p>
    <w:tbl>
      <w:tblPr>
        <w:tblStyle w:val="8"/>
        <w:tblpPr w:leftFromText="180" w:rightFromText="180" w:vertAnchor="text" w:horzAnchor="page" w:tblpXSpec="center" w:tblpY="160"/>
        <w:tblOverlap w:val="never"/>
        <w:tblW w:w="6088" w:type="dxa"/>
        <w:jc w:val="center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8"/>
        <w:gridCol w:w="225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38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2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比上年增长（%）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全市</w:t>
            </w:r>
          </w:p>
        </w:tc>
        <w:tc>
          <w:tcPr>
            <w:tcW w:w="2250" w:type="dxa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10.6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1"/>
                <w:rFonts w:hint="default"/>
                <w:b w:val="0"/>
                <w:bCs/>
                <w:color w:val="auto"/>
                <w:sz w:val="20"/>
                <w:szCs w:val="20"/>
              </w:rPr>
              <w:t>农、林、牧、渔业</w:t>
            </w:r>
            <w:r>
              <w:rPr>
                <w:rStyle w:val="12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115.9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1"/>
                <w:rFonts w:hint="default"/>
                <w:b w:val="0"/>
                <w:bCs/>
                <w:color w:val="auto"/>
                <w:sz w:val="20"/>
                <w:szCs w:val="20"/>
              </w:rPr>
              <w:t>采矿业</w:t>
            </w:r>
            <w:r>
              <w:rPr>
                <w:rStyle w:val="12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-12.2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1"/>
                <w:rFonts w:hint="default"/>
                <w:b w:val="0"/>
                <w:bCs/>
                <w:color w:val="auto"/>
                <w:sz w:val="20"/>
                <w:szCs w:val="20"/>
              </w:rPr>
              <w:t>制造业</w:t>
            </w:r>
            <w:r>
              <w:rPr>
                <w:rStyle w:val="12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24.1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1"/>
                <w:rFonts w:hint="default"/>
                <w:b w:val="0"/>
                <w:bCs/>
                <w:color w:val="auto"/>
                <w:sz w:val="20"/>
                <w:szCs w:val="20"/>
              </w:rPr>
              <w:t>电力、热力、燃气及水的生产和供应业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4.6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3"/>
                <w:rFonts w:asciiTheme="minorEastAsia" w:hAnsiTheme="minorEastAsia" w:eastAsiaTheme="minorEastAsia" w:cstheme="minorEastAsia"/>
                <w:b w:val="0"/>
                <w:bCs/>
                <w:color w:val="auto"/>
                <w:sz w:val="20"/>
                <w:szCs w:val="20"/>
              </w:rPr>
              <w:t>批发和零售业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6.8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3"/>
                <w:rFonts w:asciiTheme="minorEastAsia" w:hAnsiTheme="minorEastAsia" w:eastAsiaTheme="minorEastAsia" w:cstheme="minorEastAsia"/>
                <w:b w:val="0"/>
                <w:bCs/>
                <w:color w:val="auto"/>
                <w:sz w:val="20"/>
                <w:szCs w:val="20"/>
              </w:rPr>
              <w:t>交通运输、仓储和邮政业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14.6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3"/>
                <w:rFonts w:asciiTheme="minorEastAsia" w:hAnsiTheme="minorEastAsia" w:eastAsiaTheme="minorEastAsia" w:cstheme="minorEastAsia"/>
                <w:b w:val="0"/>
                <w:bCs/>
                <w:color w:val="auto"/>
                <w:sz w:val="20"/>
                <w:szCs w:val="20"/>
              </w:rPr>
              <w:t>住宿和餐饮业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-11.1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Style w:val="13"/>
                <w:rFonts w:asciiTheme="minorEastAsia" w:hAnsiTheme="minorEastAsia" w:eastAsiaTheme="minorEastAsia" w:cstheme="minorEastAsia"/>
                <w:b w:val="0"/>
                <w:bCs/>
                <w:color w:val="auto"/>
                <w:sz w:val="20"/>
                <w:szCs w:val="20"/>
              </w:rPr>
              <w:t>金融业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-77.2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房地产业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-51.7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租赁和商务服务业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50.3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水利、环境和公共设施管理业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12.4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居民服务和其他服务业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-3.7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教育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15.8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卫生和社会工作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18.0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文化、体育和娱乐业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-11.7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0"/>
                <w:szCs w:val="20"/>
              </w:rPr>
              <w:t xml:space="preserve">  公共管理和社会组织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-28.2 </w:t>
            </w:r>
          </w:p>
        </w:tc>
      </w:tr>
    </w:tbl>
    <w:p/>
    <w:p/>
    <w:p/>
    <w:p/>
    <w:p/>
    <w:p/>
    <w:p/>
    <w:p/>
    <w:p/>
    <w:p/>
    <w:p/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全市房地产开发投资比上年增长12.6%。全年房屋施工面积1327.12万平方米，比上年增长6.1%；房屋竣工面积96.51万平方米，比上年下降8.6%；商品房销售面积347.73万平方米，比上年增长27.4%；商品房销售额171.50亿元，比上年增长43.4%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五、国内外贸易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全年实现社会消费品零售总额</w:t>
      </w:r>
      <w:r>
        <w:rPr>
          <w:rFonts w:hint="eastAsia" w:ascii="宋体" w:hAnsi="宋体"/>
          <w:sz w:val="24"/>
        </w:rPr>
        <w:t>934.86</w:t>
      </w:r>
      <w:r>
        <w:rPr>
          <w:rFonts w:ascii="宋体" w:hAnsi="宋体"/>
          <w:sz w:val="24"/>
        </w:rPr>
        <w:t>亿元，</w:t>
      </w:r>
      <w:r>
        <w:rPr>
          <w:rFonts w:hint="eastAsia" w:ascii="宋体" w:hAnsi="宋体"/>
          <w:sz w:val="24"/>
        </w:rPr>
        <w:t>比上年</w:t>
      </w:r>
      <w:r>
        <w:rPr>
          <w:rFonts w:ascii="宋体" w:hAnsi="宋体"/>
          <w:sz w:val="24"/>
        </w:rPr>
        <w:t>增长</w:t>
      </w:r>
      <w:r>
        <w:rPr>
          <w:rFonts w:hint="eastAsia" w:ascii="宋体" w:hAnsi="宋体"/>
          <w:sz w:val="24"/>
        </w:rPr>
        <w:t>2.2</w:t>
      </w:r>
      <w:r>
        <w:rPr>
          <w:rFonts w:ascii="宋体" w:hAnsi="宋体"/>
          <w:sz w:val="24"/>
        </w:rPr>
        <w:t>%。</w:t>
      </w:r>
      <w:r>
        <w:rPr>
          <w:rFonts w:hint="eastAsia" w:ascii="宋体" w:hAnsi="宋体"/>
          <w:sz w:val="24"/>
        </w:rPr>
        <w:t>从城乡市场看，城镇实现社会消费品零售额620.13亿元，增长1.9%；乡村实现社会消费品零售额314.73亿元，增长2.6%。从消费形态看，商品零售额838.79亿元，增长2.4%；餐饮收入96.07亿元，增长0.2%。</w:t>
      </w:r>
    </w:p>
    <w:p>
      <w:pPr>
        <w:pStyle w:val="2"/>
      </w:pPr>
      <w:r>
        <w:rPr>
          <w:rFonts w:hint="eastAsia"/>
        </w:rPr>
        <w:drawing>
          <wp:inline distT="0" distB="0" distL="114300" distR="114300">
            <wp:extent cx="4584065" cy="2755265"/>
            <wp:effectExtent l="0" t="0" r="6985" b="6985"/>
            <wp:docPr id="13" name="图片 13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</w:pPr>
      <w:r>
        <w:rPr>
          <w:rFonts w:hint="eastAsia" w:ascii="宋体" w:hAnsi="宋体"/>
          <w:sz w:val="24"/>
        </w:rPr>
        <w:t>限额以上单位消费品零售额比上年增长10.6%。其中：五金、电料类增长78.7%，粮油、食品类增长33.8%，饮料类增长29.3%，日用品类增长15.3%，通讯器材类增长15.9%，化妆品类增长36.8%，汽车类增长14.5%。</w:t>
      </w:r>
    </w:p>
    <w:p>
      <w:pPr>
        <w:spacing w:line="360" w:lineRule="auto"/>
        <w:ind w:firstLine="480" w:firstLineChars="200"/>
        <w:rPr>
          <w:rFonts w:ascii="宋体" w:hAnsi="宋体"/>
          <w:b/>
          <w:bCs/>
          <w:i/>
          <w:iCs/>
          <w:sz w:val="24"/>
        </w:rPr>
      </w:pPr>
      <w:r>
        <w:rPr>
          <w:rFonts w:hint="eastAsia" w:ascii="宋体" w:hAnsi="宋体"/>
          <w:sz w:val="24"/>
        </w:rPr>
        <w:t>全市进出口总额达13.89亿美元，比上年增长15.6%；其中出口总额为13.59亿美元，比上年增长14.7%，进口总额为0.30亿美元，比上年增长81.7%。</w:t>
      </w:r>
    </w:p>
    <w:p>
      <w:pPr>
        <w:pStyle w:val="2"/>
      </w:pPr>
      <w:r>
        <w:rPr>
          <w:rFonts w:hint="eastAsia"/>
        </w:rPr>
        <w:drawing>
          <wp:inline distT="0" distB="0" distL="114300" distR="114300">
            <wp:extent cx="4584065" cy="2755265"/>
            <wp:effectExtent l="0" t="0" r="6985" b="6985"/>
            <wp:docPr id="14" name="图片 14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交通、邮电和旅游业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480"/>
      </w:pPr>
      <w:r>
        <w:rPr>
          <w:rFonts w:hint="eastAsia" w:ascii="宋体" w:hAnsi="宋体" w:cs="Tahoma"/>
          <w:kern w:val="0"/>
          <w:sz w:val="24"/>
        </w:rPr>
        <w:t>全年交通运输、仓储和邮政业实现增加值96.43亿元，比上年增长4.3%。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Tahoma"/>
          <w:kern w:val="0"/>
          <w:sz w:val="24"/>
        </w:rPr>
        <w:t>2020年末全市货物运输周转量280.18亿吨公里，比上年增长17.4%；旅客周转量50.53亿人公里，比上年增长0.5%。全市公路通车里程</w:t>
      </w:r>
      <w:r>
        <w:rPr>
          <w:rFonts w:ascii="宋体" w:hAnsi="宋体" w:cs="宋体"/>
          <w:sz w:val="24"/>
        </w:rPr>
        <w:t>27880.0</w:t>
      </w:r>
      <w:r>
        <w:rPr>
          <w:rFonts w:hint="eastAsia" w:ascii="宋体" w:hAnsi="宋体" w:cs="Tahoma"/>
          <w:kern w:val="0"/>
          <w:sz w:val="24"/>
        </w:rPr>
        <w:t>公里，其中高速公路</w:t>
      </w:r>
      <w:r>
        <w:rPr>
          <w:rFonts w:ascii="宋体" w:hAnsi="宋体" w:cs="宋体"/>
          <w:sz w:val="24"/>
        </w:rPr>
        <w:t>1090.6</w:t>
      </w:r>
      <w:r>
        <w:rPr>
          <w:rFonts w:hint="eastAsia" w:ascii="宋体" w:hAnsi="宋体" w:cs="Tahoma"/>
          <w:kern w:val="0"/>
          <w:sz w:val="24"/>
        </w:rPr>
        <w:t>公里。</w:t>
      </w:r>
      <w:r>
        <w:rPr>
          <w:rFonts w:hint="eastAsia" w:ascii="宋体" w:hAnsi="宋体"/>
          <w:sz w:val="24"/>
        </w:rPr>
        <w:t>全年公路运输总周转量285.23亿吨公里，比上年增长17.0%。</w:t>
      </w:r>
      <w:r>
        <w:rPr>
          <w:rFonts w:ascii="宋体" w:hAnsi="宋体" w:cs="宋体"/>
          <w:sz w:val="24"/>
        </w:rPr>
        <w:t>年末全市机动车总量</w:t>
      </w:r>
      <w:r>
        <w:rPr>
          <w:rFonts w:hint="eastAsia" w:ascii="宋体" w:hAnsi="宋体" w:cs="宋体"/>
          <w:sz w:val="24"/>
        </w:rPr>
        <w:t>130.16</w:t>
      </w:r>
      <w:r>
        <w:rPr>
          <w:rFonts w:ascii="宋体" w:hAnsi="宋体" w:cs="宋体"/>
          <w:sz w:val="24"/>
        </w:rPr>
        <w:t>万辆，其中个人机动车</w:t>
      </w:r>
      <w:r>
        <w:rPr>
          <w:rFonts w:hint="eastAsia" w:ascii="宋体" w:hAnsi="宋体" w:cs="宋体"/>
          <w:sz w:val="24"/>
        </w:rPr>
        <w:t>总量125.24</w:t>
      </w:r>
      <w:r>
        <w:rPr>
          <w:rFonts w:ascii="宋体" w:hAnsi="宋体" w:cs="宋体"/>
          <w:sz w:val="24"/>
        </w:rPr>
        <w:t>万辆。年末全市汽车</w:t>
      </w:r>
      <w:r>
        <w:rPr>
          <w:rFonts w:hint="eastAsia" w:ascii="宋体" w:hAnsi="宋体" w:cs="宋体"/>
          <w:sz w:val="24"/>
        </w:rPr>
        <w:t>总量84.23</w:t>
      </w:r>
      <w:r>
        <w:rPr>
          <w:rFonts w:ascii="宋体" w:hAnsi="宋体" w:cs="宋体"/>
          <w:sz w:val="24"/>
        </w:rPr>
        <w:t>万辆，其中个人汽车</w:t>
      </w:r>
      <w:r>
        <w:rPr>
          <w:rFonts w:hint="eastAsia" w:ascii="宋体" w:hAnsi="宋体" w:cs="宋体"/>
          <w:sz w:val="24"/>
        </w:rPr>
        <w:t>总量79.63</w:t>
      </w:r>
      <w:r>
        <w:rPr>
          <w:rFonts w:ascii="宋体" w:hAnsi="宋体" w:cs="宋体"/>
          <w:sz w:val="24"/>
        </w:rPr>
        <w:t>万辆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360" w:lineRule="auto"/>
        <w:ind w:left="0" w:leftChars="0" w:firstLine="435" w:firstLineChars="0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全年完成邮政业务总量6.63亿元，比上年增长19.1%，邮政业务收入5.29亿元，增长14.0%，快递业务收入2.88亿元，增长18.2%，快递业务量1981.13万件，增长21.7%。</w:t>
      </w:r>
    </w:p>
    <w:p>
      <w:pPr>
        <w:pStyle w:val="2"/>
        <w:spacing w:line="360" w:lineRule="auto"/>
        <w:ind w:firstLine="480"/>
        <w:rPr>
          <w:rFonts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drawing>
          <wp:inline distT="0" distB="0" distL="114300" distR="114300">
            <wp:extent cx="4584065" cy="2755265"/>
            <wp:effectExtent l="0" t="0" r="6985" b="6985"/>
            <wp:docPr id="15" name="图片 15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全年完成电信业务总量494.92亿元，比上年增长36.8%；电信业务收入33.78亿元，增长4.2 %。年末全市移动电话用户533.1万户，增长4.7%。固定电话用户20.0万户，下降2.0%。互联网用户137.3万户，增长11.3%。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全年共接待海外游客0.44万人次，比上年下降87.6%；国内游客3249.47万人次，下降30.5%；旅游总收入达367.56亿元，下降34.3%。</w:t>
      </w:r>
    </w:p>
    <w:p>
      <w:pPr>
        <w:pStyle w:val="2"/>
      </w:pPr>
      <w:r>
        <w:rPr>
          <w:rFonts w:hint="eastAsia"/>
        </w:rPr>
        <w:drawing>
          <wp:inline distT="0" distB="0" distL="114300" distR="114300">
            <wp:extent cx="4584065" cy="2755265"/>
            <wp:effectExtent l="0" t="0" r="6985" b="6985"/>
            <wp:docPr id="17" name="图片 17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七、金融、保险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年末全市金融机构人民币各项存款余额2765.60亿元，比年初增加280.62亿元，比上年增长11.3%；其中：单位存款余额1007.39亿元，比年初增加50.85亿元，比上年增长5.3%；储蓄存款余额1550.59亿元，比年初增加207.39亿元，比上年增长15.4%。金融机构人民币各项贷款余额1793.91亿元，比年初增加139.00亿元，比上年增长8.4%；其中：短期贷款459.54亿元，比年初减少14.27亿元，比上年下降5.9%；中长期贷款981.41亿元，比年初增加111.54亿元，比上年增长14.7%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全市32家保险公司实现保费收入74.42亿元，比上年增长5.4%。其中：财产保费收入29.67亿元，增长5.0%；人寿保险费收入44.75亿元，增长5.7%。全年支付（给付）赔款28.79亿元，增长4.5%，赔付率56.87%。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八、教育、文化和卫生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年末全市共有普通高等学校4所，在校生3.91万人。中等专业学校33所(中等职业技术学校12所，中等师范学校2所，成人中等专业学校9所，职业高中学校10所）,在校生8.10万人。普通中学263所，在校生43.41万人。小学1644所，在校生52.39万人。特殊教育学校10所，在校生1346人。幼儿园1876所，在园幼儿22.79万人。学龄儿童净入学率99.89%，初中阶段毛入学率101.11%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年末全市有文化艺术表演团体3个，文化馆10个，文化站138个，博物馆13个，公共图书馆11个。电视人口覆盖率99%，广播人口覆盖率99%。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年末全市共有各类卫生机构2783个，其中医院135个，乡镇卫生院103个，社区服务中心（站）33个，共有卫生机构床位3.92万张，卫生技术人员3.57万人。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九、环境、资源和安全生产</w:t>
      </w:r>
    </w:p>
    <w:p>
      <w:pPr>
        <w:widowControl/>
        <w:spacing w:before="75" w:after="75"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年末全市环境保护系统人员434人，其中各级环境监测站153人。全市共有22个自然保护区，保护区面积达30.3万公顷。共有1010座水库，库容量25.25亿立方米，水利工程供水量17.98亿立方米。</w:t>
      </w:r>
    </w:p>
    <w:p>
      <w:pPr>
        <w:pStyle w:val="2"/>
        <w:spacing w:line="360" w:lineRule="auto"/>
        <w:ind w:left="0" w:leftChars="0" w:firstLine="0" w:firstLineChars="0"/>
      </w:pPr>
      <w:r>
        <w:rPr>
          <w:rFonts w:hint="eastAsia" w:ascii="宋体" w:hAnsi="宋体" w:cs="Tahoma"/>
          <w:kern w:val="0"/>
          <w:sz w:val="24"/>
        </w:rPr>
        <w:t xml:space="preserve">    年末污水处理厂集中处理率为97.48%，比上年提高0.33个百分点；生活垃圾无害化处理率100%。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全年规模以上工业能源消费1622.02万吨标准煤，</w:t>
      </w:r>
      <w:r>
        <w:rPr>
          <w:rFonts w:hint="eastAsia" w:ascii="宋体" w:hAnsi="宋体" w:cs="宋体"/>
          <w:sz w:val="24"/>
        </w:rPr>
        <w:t>比上年</w:t>
      </w:r>
      <w:r>
        <w:rPr>
          <w:rFonts w:ascii="宋体" w:hAnsi="宋体" w:cs="宋体"/>
          <w:sz w:val="24"/>
        </w:rPr>
        <w:t>增长3.</w:t>
      </w: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%，主要能源品种消费量中，原煤消费量2253.74万吨，下降14.</w:t>
      </w:r>
      <w:r>
        <w:rPr>
          <w:rFonts w:hint="eastAsia" w:ascii="宋体" w:hAnsi="宋体" w:cs="宋体"/>
          <w:sz w:val="24"/>
        </w:rPr>
        <w:t>5</w:t>
      </w:r>
      <w:r>
        <w:rPr>
          <w:rFonts w:ascii="宋体" w:hAnsi="宋体" w:cs="宋体"/>
          <w:sz w:val="24"/>
        </w:rPr>
        <w:t>%；电力消费量251.13亿千瓦时，增长</w:t>
      </w:r>
      <w:r>
        <w:rPr>
          <w:rFonts w:hint="eastAsia" w:ascii="宋体" w:hAnsi="宋体" w:cs="宋体"/>
          <w:sz w:val="24"/>
        </w:rPr>
        <w:t>7.0</w:t>
      </w:r>
      <w:r>
        <w:rPr>
          <w:rFonts w:ascii="宋体" w:hAnsi="宋体" w:cs="宋体"/>
          <w:sz w:val="24"/>
        </w:rPr>
        <w:t>%。规模以上工业万元增加值能耗下降3.5%。全年全社会用电量累计325.32亿度,增长9.</w:t>
      </w:r>
      <w:r>
        <w:rPr>
          <w:rFonts w:hint="eastAsia" w:ascii="宋体" w:hAnsi="宋体" w:cs="宋体"/>
          <w:sz w:val="24"/>
        </w:rPr>
        <w:t>5</w:t>
      </w:r>
      <w:r>
        <w:rPr>
          <w:rFonts w:ascii="宋体" w:hAnsi="宋体" w:cs="宋体"/>
          <w:sz w:val="24"/>
        </w:rPr>
        <w:t>%。</w:t>
      </w:r>
    </w:p>
    <w:p>
      <w:pPr>
        <w:spacing w:line="360" w:lineRule="auto"/>
        <w:ind w:firstLine="480" w:firstLineChars="200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2020年全市共发生各类安全事故170起，比上年下降26%；安全事故死亡150人，下降11.2%；受伤126人，下降25.44%；直接经济损失4570.35万元，上升13.1%。亿元GDP生产安全事故死亡人数为0.051人。</w:t>
      </w:r>
    </w:p>
    <w:p>
      <w:pPr>
        <w:spacing w:line="360" w:lineRule="auto"/>
        <w:ind w:firstLine="482" w:firstLineChars="200"/>
        <w:rPr>
          <w:rFonts w:ascii="宋体" w:hAnsi="宋体" w:cs="Tahoma"/>
          <w:b/>
          <w:bCs/>
          <w:kern w:val="0"/>
          <w:sz w:val="24"/>
        </w:rPr>
      </w:pPr>
      <w:r>
        <w:rPr>
          <w:rFonts w:hint="eastAsia" w:ascii="宋体" w:hAnsi="宋体" w:cs="Tahoma"/>
          <w:b/>
          <w:bCs/>
          <w:kern w:val="0"/>
          <w:sz w:val="24"/>
        </w:rPr>
        <w:t>十、居民收入和社会保障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全年全体居民人均可支配收入25190元，比上年增长5.7%。按常住地分，城镇常住居民人均可支配收入38657元，增长3.6%；农村常住居民人均可支配收入14793元，增长8.0%。</w:t>
      </w:r>
    </w:p>
    <w:p>
      <w:pPr>
        <w:widowControl/>
        <w:spacing w:before="75" w:after="75" w:line="360" w:lineRule="auto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年末全市基本养老保险参保377.26万人（城镇职工51.55 万人，城乡居民325.71万人）；基本医疗保险参保594.17万人（城镇职工46.73万人，城乡居民547.44万人）；失业保险参保27.13万人；工伤保险参保46.18万人；生育保险参保32.17万人。享受城市最低生活保障居民35646人，享受农村最低生活保障居民290807人。</w:t>
      </w:r>
    </w:p>
    <w:p>
      <w:pPr>
        <w:widowControl/>
        <w:spacing w:before="75" w:after="75" w:line="360" w:lineRule="auto"/>
        <w:ind w:firstLine="420" w:firstLineChars="20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注：</w:t>
      </w:r>
    </w:p>
    <w:p>
      <w:pPr>
        <w:widowControl/>
        <w:spacing w:before="75" w:after="75" w:line="360" w:lineRule="auto"/>
        <w:ind w:firstLine="420" w:firstLineChars="20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1.2020年开展第七次全国人口普查，相关数据暂未反馈，公报中不再单独发布人口和就业人员相关数据。公报中涉及的人均指标根据人口预计数计算得到。</w:t>
      </w:r>
    </w:p>
    <w:p>
      <w:pPr>
        <w:pStyle w:val="2"/>
        <w:ind w:left="0" w:leftChars="0"/>
        <w:rPr>
          <w:rFonts w:ascii="楷体_GB2312" w:eastAsia="楷体_GB2312"/>
        </w:rPr>
      </w:pPr>
      <w:r>
        <w:rPr>
          <w:rFonts w:hint="eastAsia" w:ascii="楷体_GB2312" w:eastAsia="楷体_GB2312"/>
        </w:rPr>
        <w:t>2.地区生产总值、三次产业及相关行业增加值、人均国内生产总值绝对数按现价计算，增长速度按不变价格计算。</w:t>
      </w:r>
    </w:p>
    <w:p>
      <w:pPr>
        <w:pStyle w:val="2"/>
        <w:ind w:left="0" w:leftChars="0"/>
        <w:rPr>
          <w:rFonts w:ascii="楷体_GB2312" w:eastAsia="楷体_GB2312"/>
        </w:rPr>
      </w:pPr>
      <w:r>
        <w:rPr>
          <w:rFonts w:hint="eastAsia" w:ascii="楷体_GB2312" w:eastAsia="楷体_GB2312"/>
        </w:rPr>
        <w:t>3.</w:t>
      </w:r>
      <w:r>
        <w:rPr>
          <w:rFonts w:ascii="楷体_GB2312" w:eastAsia="楷体_GB2312"/>
        </w:rPr>
        <w:t>根据第四次全国经济普查结果及有关制度规定，对2016-201</w:t>
      </w:r>
      <w:r>
        <w:rPr>
          <w:rFonts w:hint="eastAsia" w:ascii="楷体_GB2312" w:eastAsia="楷体_GB2312"/>
        </w:rPr>
        <w:t>8</w:t>
      </w:r>
      <w:r>
        <w:rPr>
          <w:rFonts w:ascii="楷体_GB2312" w:eastAsia="楷体_GB2312"/>
        </w:rPr>
        <w:t>年</w:t>
      </w:r>
      <w:r>
        <w:rPr>
          <w:rFonts w:hint="eastAsia" w:ascii="楷体_GB2312" w:eastAsia="楷体_GB2312"/>
        </w:rPr>
        <w:t>地区生产总值和</w:t>
      </w:r>
      <w:r>
        <w:rPr>
          <w:rFonts w:ascii="楷体_GB2312" w:eastAsia="楷体_GB2312"/>
        </w:rPr>
        <w:t>社会消费品零售总额数据进行了修订。</w:t>
      </w:r>
    </w:p>
    <w:p>
      <w:pPr>
        <w:widowControl/>
        <w:spacing w:before="75" w:after="75" w:line="360" w:lineRule="auto"/>
        <w:ind w:firstLine="420" w:firstLineChars="20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4.文中2020年数据为快报数或预计数，最终定案数以《曲靖统计年鉴》为准。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0E658"/>
    <w:multiLevelType w:val="singleLevel"/>
    <w:tmpl w:val="FA40E65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F11"/>
    <w:rsid w:val="00004703"/>
    <w:rsid w:val="00022AC4"/>
    <w:rsid w:val="00023B85"/>
    <w:rsid w:val="00042628"/>
    <w:rsid w:val="00054BDD"/>
    <w:rsid w:val="00081648"/>
    <w:rsid w:val="00086FD6"/>
    <w:rsid w:val="000A13B1"/>
    <w:rsid w:val="000B6BCE"/>
    <w:rsid w:val="000C3291"/>
    <w:rsid w:val="000E137F"/>
    <w:rsid w:val="000F595E"/>
    <w:rsid w:val="000F5BD3"/>
    <w:rsid w:val="001468D3"/>
    <w:rsid w:val="001478EC"/>
    <w:rsid w:val="001673DA"/>
    <w:rsid w:val="00172A27"/>
    <w:rsid w:val="00182FC6"/>
    <w:rsid w:val="001A1947"/>
    <w:rsid w:val="001B3BDF"/>
    <w:rsid w:val="001C7385"/>
    <w:rsid w:val="001D3DA5"/>
    <w:rsid w:val="001D3EC5"/>
    <w:rsid w:val="001D4569"/>
    <w:rsid w:val="001E105C"/>
    <w:rsid w:val="001F17CF"/>
    <w:rsid w:val="0020449F"/>
    <w:rsid w:val="00207E7D"/>
    <w:rsid w:val="00211D1F"/>
    <w:rsid w:val="002148BA"/>
    <w:rsid w:val="00223885"/>
    <w:rsid w:val="0023440E"/>
    <w:rsid w:val="002419EF"/>
    <w:rsid w:val="00244B67"/>
    <w:rsid w:val="00263648"/>
    <w:rsid w:val="00265DD5"/>
    <w:rsid w:val="00273995"/>
    <w:rsid w:val="00286E89"/>
    <w:rsid w:val="00292B1B"/>
    <w:rsid w:val="002A0E23"/>
    <w:rsid w:val="002A43E0"/>
    <w:rsid w:val="002A6E9C"/>
    <w:rsid w:val="002B027C"/>
    <w:rsid w:val="002C2717"/>
    <w:rsid w:val="002C6974"/>
    <w:rsid w:val="002D1293"/>
    <w:rsid w:val="002E1660"/>
    <w:rsid w:val="002E1D32"/>
    <w:rsid w:val="002F17AF"/>
    <w:rsid w:val="003038C6"/>
    <w:rsid w:val="00316844"/>
    <w:rsid w:val="00323CA2"/>
    <w:rsid w:val="00336946"/>
    <w:rsid w:val="00345BEA"/>
    <w:rsid w:val="00350249"/>
    <w:rsid w:val="00364023"/>
    <w:rsid w:val="00365D49"/>
    <w:rsid w:val="003679FE"/>
    <w:rsid w:val="0037428F"/>
    <w:rsid w:val="00382559"/>
    <w:rsid w:val="00393393"/>
    <w:rsid w:val="003B0C89"/>
    <w:rsid w:val="003B6EE4"/>
    <w:rsid w:val="003C3667"/>
    <w:rsid w:val="003D2261"/>
    <w:rsid w:val="003E5E83"/>
    <w:rsid w:val="0040129C"/>
    <w:rsid w:val="00406378"/>
    <w:rsid w:val="00414218"/>
    <w:rsid w:val="004178A3"/>
    <w:rsid w:val="004376DC"/>
    <w:rsid w:val="00450390"/>
    <w:rsid w:val="00460E84"/>
    <w:rsid w:val="004809C5"/>
    <w:rsid w:val="00485EEA"/>
    <w:rsid w:val="004871C5"/>
    <w:rsid w:val="00494D00"/>
    <w:rsid w:val="00494F77"/>
    <w:rsid w:val="00497B2F"/>
    <w:rsid w:val="004A6621"/>
    <w:rsid w:val="004B3015"/>
    <w:rsid w:val="004B3687"/>
    <w:rsid w:val="004B3FAF"/>
    <w:rsid w:val="004C35EA"/>
    <w:rsid w:val="004C7115"/>
    <w:rsid w:val="004D20B2"/>
    <w:rsid w:val="004D33A5"/>
    <w:rsid w:val="004E6E2F"/>
    <w:rsid w:val="004F1FA7"/>
    <w:rsid w:val="004F3490"/>
    <w:rsid w:val="00500CCD"/>
    <w:rsid w:val="0051525B"/>
    <w:rsid w:val="00534802"/>
    <w:rsid w:val="005400DC"/>
    <w:rsid w:val="0054010F"/>
    <w:rsid w:val="00544530"/>
    <w:rsid w:val="00547DA3"/>
    <w:rsid w:val="00553D46"/>
    <w:rsid w:val="00564AE3"/>
    <w:rsid w:val="00566F66"/>
    <w:rsid w:val="00571624"/>
    <w:rsid w:val="00572692"/>
    <w:rsid w:val="00584D01"/>
    <w:rsid w:val="00590C8C"/>
    <w:rsid w:val="00590DF7"/>
    <w:rsid w:val="00596D57"/>
    <w:rsid w:val="005A0E01"/>
    <w:rsid w:val="005B4D30"/>
    <w:rsid w:val="005B52E3"/>
    <w:rsid w:val="005C0DC5"/>
    <w:rsid w:val="005D10A8"/>
    <w:rsid w:val="005D45F7"/>
    <w:rsid w:val="005E40F3"/>
    <w:rsid w:val="005F066F"/>
    <w:rsid w:val="00603DBE"/>
    <w:rsid w:val="00605CCC"/>
    <w:rsid w:val="006153D3"/>
    <w:rsid w:val="00632477"/>
    <w:rsid w:val="00635C1C"/>
    <w:rsid w:val="00635E00"/>
    <w:rsid w:val="00652F28"/>
    <w:rsid w:val="00654CDA"/>
    <w:rsid w:val="00660610"/>
    <w:rsid w:val="00675F08"/>
    <w:rsid w:val="006768E2"/>
    <w:rsid w:val="00676B58"/>
    <w:rsid w:val="00690321"/>
    <w:rsid w:val="00693447"/>
    <w:rsid w:val="006A3225"/>
    <w:rsid w:val="006B08DE"/>
    <w:rsid w:val="006B559D"/>
    <w:rsid w:val="006D334F"/>
    <w:rsid w:val="006E242B"/>
    <w:rsid w:val="007109EC"/>
    <w:rsid w:val="0071705D"/>
    <w:rsid w:val="007277BC"/>
    <w:rsid w:val="00741A7B"/>
    <w:rsid w:val="00746C47"/>
    <w:rsid w:val="0075486E"/>
    <w:rsid w:val="007A1ED6"/>
    <w:rsid w:val="007A4227"/>
    <w:rsid w:val="007A72D7"/>
    <w:rsid w:val="007C2C01"/>
    <w:rsid w:val="007D70F8"/>
    <w:rsid w:val="007E033B"/>
    <w:rsid w:val="007E0EA4"/>
    <w:rsid w:val="00801896"/>
    <w:rsid w:val="00807B7E"/>
    <w:rsid w:val="00814A25"/>
    <w:rsid w:val="00816E88"/>
    <w:rsid w:val="00830F58"/>
    <w:rsid w:val="008439C9"/>
    <w:rsid w:val="00845C28"/>
    <w:rsid w:val="00850FD0"/>
    <w:rsid w:val="008528FF"/>
    <w:rsid w:val="008537FC"/>
    <w:rsid w:val="00870FFE"/>
    <w:rsid w:val="00885E90"/>
    <w:rsid w:val="008A3699"/>
    <w:rsid w:val="008B382A"/>
    <w:rsid w:val="008B4136"/>
    <w:rsid w:val="008E11A3"/>
    <w:rsid w:val="009000C0"/>
    <w:rsid w:val="00921DFC"/>
    <w:rsid w:val="00922DFE"/>
    <w:rsid w:val="00923697"/>
    <w:rsid w:val="009336C1"/>
    <w:rsid w:val="00941A5A"/>
    <w:rsid w:val="0094330B"/>
    <w:rsid w:val="0095206B"/>
    <w:rsid w:val="00952E7E"/>
    <w:rsid w:val="00953E90"/>
    <w:rsid w:val="0095575D"/>
    <w:rsid w:val="009613AD"/>
    <w:rsid w:val="009B176B"/>
    <w:rsid w:val="009B2A8E"/>
    <w:rsid w:val="009C5A68"/>
    <w:rsid w:val="009D2AAF"/>
    <w:rsid w:val="009F6167"/>
    <w:rsid w:val="00A03C38"/>
    <w:rsid w:val="00A22EDF"/>
    <w:rsid w:val="00A3241B"/>
    <w:rsid w:val="00A33634"/>
    <w:rsid w:val="00A33EBA"/>
    <w:rsid w:val="00A4460B"/>
    <w:rsid w:val="00A51339"/>
    <w:rsid w:val="00A80B62"/>
    <w:rsid w:val="00A833C2"/>
    <w:rsid w:val="00A8377C"/>
    <w:rsid w:val="00A90D13"/>
    <w:rsid w:val="00A95D34"/>
    <w:rsid w:val="00A973D4"/>
    <w:rsid w:val="00AA6712"/>
    <w:rsid w:val="00AB1B28"/>
    <w:rsid w:val="00AD7F72"/>
    <w:rsid w:val="00B02642"/>
    <w:rsid w:val="00B21CDD"/>
    <w:rsid w:val="00B333D5"/>
    <w:rsid w:val="00B44F10"/>
    <w:rsid w:val="00B50D79"/>
    <w:rsid w:val="00B51C41"/>
    <w:rsid w:val="00B63A1A"/>
    <w:rsid w:val="00B7232F"/>
    <w:rsid w:val="00B860B3"/>
    <w:rsid w:val="00B95DAB"/>
    <w:rsid w:val="00B97C95"/>
    <w:rsid w:val="00BA3487"/>
    <w:rsid w:val="00BA5C41"/>
    <w:rsid w:val="00BA73D0"/>
    <w:rsid w:val="00BB4A48"/>
    <w:rsid w:val="00C04B23"/>
    <w:rsid w:val="00C402A5"/>
    <w:rsid w:val="00C50DB0"/>
    <w:rsid w:val="00C821B2"/>
    <w:rsid w:val="00C82536"/>
    <w:rsid w:val="00C9101B"/>
    <w:rsid w:val="00C942A3"/>
    <w:rsid w:val="00CD778C"/>
    <w:rsid w:val="00CE7356"/>
    <w:rsid w:val="00CF78D0"/>
    <w:rsid w:val="00D03AE0"/>
    <w:rsid w:val="00D1409F"/>
    <w:rsid w:val="00D1431F"/>
    <w:rsid w:val="00D23D00"/>
    <w:rsid w:val="00D24C04"/>
    <w:rsid w:val="00D27F08"/>
    <w:rsid w:val="00D34C56"/>
    <w:rsid w:val="00D36256"/>
    <w:rsid w:val="00D65467"/>
    <w:rsid w:val="00D80BEE"/>
    <w:rsid w:val="00D97433"/>
    <w:rsid w:val="00DC11C1"/>
    <w:rsid w:val="00DD18AA"/>
    <w:rsid w:val="00DD3285"/>
    <w:rsid w:val="00DD3E63"/>
    <w:rsid w:val="00DE3CF7"/>
    <w:rsid w:val="00DE594E"/>
    <w:rsid w:val="00DF3F12"/>
    <w:rsid w:val="00DF63B5"/>
    <w:rsid w:val="00E0048F"/>
    <w:rsid w:val="00E15CCC"/>
    <w:rsid w:val="00E17AD1"/>
    <w:rsid w:val="00E24DA1"/>
    <w:rsid w:val="00E35F7C"/>
    <w:rsid w:val="00E430D6"/>
    <w:rsid w:val="00E45582"/>
    <w:rsid w:val="00E46179"/>
    <w:rsid w:val="00E560F6"/>
    <w:rsid w:val="00E563BD"/>
    <w:rsid w:val="00E6079A"/>
    <w:rsid w:val="00E736AE"/>
    <w:rsid w:val="00E81E8C"/>
    <w:rsid w:val="00E90165"/>
    <w:rsid w:val="00E932FA"/>
    <w:rsid w:val="00E940F1"/>
    <w:rsid w:val="00EA1ED5"/>
    <w:rsid w:val="00EB23C5"/>
    <w:rsid w:val="00EB6F7A"/>
    <w:rsid w:val="00EB799A"/>
    <w:rsid w:val="00EC5BBF"/>
    <w:rsid w:val="00EE0551"/>
    <w:rsid w:val="00EE149C"/>
    <w:rsid w:val="00F202F9"/>
    <w:rsid w:val="00F219FF"/>
    <w:rsid w:val="00F50C9C"/>
    <w:rsid w:val="00F56D0F"/>
    <w:rsid w:val="00F75E85"/>
    <w:rsid w:val="00F93438"/>
    <w:rsid w:val="00FA47D7"/>
    <w:rsid w:val="00FB55DF"/>
    <w:rsid w:val="00FD0767"/>
    <w:rsid w:val="00FE10BF"/>
    <w:rsid w:val="01103BF0"/>
    <w:rsid w:val="0335772E"/>
    <w:rsid w:val="0393286B"/>
    <w:rsid w:val="03C7335A"/>
    <w:rsid w:val="04273A7C"/>
    <w:rsid w:val="05603AE4"/>
    <w:rsid w:val="056E0822"/>
    <w:rsid w:val="057528C5"/>
    <w:rsid w:val="069F206A"/>
    <w:rsid w:val="086B08EB"/>
    <w:rsid w:val="096A15E2"/>
    <w:rsid w:val="09AF6D54"/>
    <w:rsid w:val="0CAC5391"/>
    <w:rsid w:val="0D4E163A"/>
    <w:rsid w:val="0D6B08FD"/>
    <w:rsid w:val="0EE21155"/>
    <w:rsid w:val="0F0E3F48"/>
    <w:rsid w:val="0FA576E5"/>
    <w:rsid w:val="108C55C4"/>
    <w:rsid w:val="10F75A90"/>
    <w:rsid w:val="11F774C9"/>
    <w:rsid w:val="1221404A"/>
    <w:rsid w:val="123D5448"/>
    <w:rsid w:val="15D64CC3"/>
    <w:rsid w:val="164A4B1F"/>
    <w:rsid w:val="18A1435B"/>
    <w:rsid w:val="1AA5388C"/>
    <w:rsid w:val="1AC728B8"/>
    <w:rsid w:val="1C22555D"/>
    <w:rsid w:val="1C232298"/>
    <w:rsid w:val="1D4A7A41"/>
    <w:rsid w:val="1E2D1AE6"/>
    <w:rsid w:val="1EC87B6C"/>
    <w:rsid w:val="1ED038F6"/>
    <w:rsid w:val="1EF277CC"/>
    <w:rsid w:val="1F870A18"/>
    <w:rsid w:val="1FB677AC"/>
    <w:rsid w:val="201176A9"/>
    <w:rsid w:val="21AA7409"/>
    <w:rsid w:val="21AA793F"/>
    <w:rsid w:val="21D22650"/>
    <w:rsid w:val="23446361"/>
    <w:rsid w:val="252B1573"/>
    <w:rsid w:val="25623D3E"/>
    <w:rsid w:val="25AE7A10"/>
    <w:rsid w:val="26296408"/>
    <w:rsid w:val="265F4B5D"/>
    <w:rsid w:val="276E1F4F"/>
    <w:rsid w:val="2805650E"/>
    <w:rsid w:val="28CF4D95"/>
    <w:rsid w:val="29417706"/>
    <w:rsid w:val="29B36626"/>
    <w:rsid w:val="2A720D95"/>
    <w:rsid w:val="2AE442A0"/>
    <w:rsid w:val="2B822DE1"/>
    <w:rsid w:val="2BBA12AB"/>
    <w:rsid w:val="2C9F3B9A"/>
    <w:rsid w:val="2F644CAA"/>
    <w:rsid w:val="2F8D5C7F"/>
    <w:rsid w:val="343577A7"/>
    <w:rsid w:val="34874A6D"/>
    <w:rsid w:val="35252E44"/>
    <w:rsid w:val="35A60331"/>
    <w:rsid w:val="35B15237"/>
    <w:rsid w:val="3742764D"/>
    <w:rsid w:val="37FB3DCE"/>
    <w:rsid w:val="38777F28"/>
    <w:rsid w:val="388B1582"/>
    <w:rsid w:val="38A12E71"/>
    <w:rsid w:val="3AF94A2E"/>
    <w:rsid w:val="3B234B50"/>
    <w:rsid w:val="3BEA3C78"/>
    <w:rsid w:val="3C8324C7"/>
    <w:rsid w:val="3CA16E04"/>
    <w:rsid w:val="3D183CAA"/>
    <w:rsid w:val="3DCC201C"/>
    <w:rsid w:val="40A905B9"/>
    <w:rsid w:val="42706CF0"/>
    <w:rsid w:val="43D04A6D"/>
    <w:rsid w:val="44064608"/>
    <w:rsid w:val="451C3CC3"/>
    <w:rsid w:val="45351689"/>
    <w:rsid w:val="47892007"/>
    <w:rsid w:val="47CB67FC"/>
    <w:rsid w:val="48143A5C"/>
    <w:rsid w:val="487E7111"/>
    <w:rsid w:val="489A4AB7"/>
    <w:rsid w:val="4933589B"/>
    <w:rsid w:val="49A86A11"/>
    <w:rsid w:val="49B600A4"/>
    <w:rsid w:val="49BC001A"/>
    <w:rsid w:val="4A581AC4"/>
    <w:rsid w:val="4BBC03CE"/>
    <w:rsid w:val="4C6413E6"/>
    <w:rsid w:val="4CED5D8B"/>
    <w:rsid w:val="4D9F52F0"/>
    <w:rsid w:val="50A13397"/>
    <w:rsid w:val="50C05656"/>
    <w:rsid w:val="515B01BA"/>
    <w:rsid w:val="523D3F11"/>
    <w:rsid w:val="54986F3E"/>
    <w:rsid w:val="55C50FD6"/>
    <w:rsid w:val="5605776F"/>
    <w:rsid w:val="56F67E08"/>
    <w:rsid w:val="57542B31"/>
    <w:rsid w:val="57FA5FEF"/>
    <w:rsid w:val="582F5F42"/>
    <w:rsid w:val="58744C59"/>
    <w:rsid w:val="596C02E1"/>
    <w:rsid w:val="5B931AAA"/>
    <w:rsid w:val="5C0E643A"/>
    <w:rsid w:val="5CB52E1A"/>
    <w:rsid w:val="5D6068E4"/>
    <w:rsid w:val="5D7B1AA4"/>
    <w:rsid w:val="5D9C7465"/>
    <w:rsid w:val="5DC9402F"/>
    <w:rsid w:val="5E4016B8"/>
    <w:rsid w:val="5E7D1418"/>
    <w:rsid w:val="5ED304F9"/>
    <w:rsid w:val="5F0C3A8B"/>
    <w:rsid w:val="5F2B667B"/>
    <w:rsid w:val="5F9B2A42"/>
    <w:rsid w:val="60CC6D99"/>
    <w:rsid w:val="632C3149"/>
    <w:rsid w:val="63E22668"/>
    <w:rsid w:val="65356E0B"/>
    <w:rsid w:val="657F0D5A"/>
    <w:rsid w:val="670A5FAE"/>
    <w:rsid w:val="67D62D7F"/>
    <w:rsid w:val="682B2E86"/>
    <w:rsid w:val="6B69117A"/>
    <w:rsid w:val="6B691AC3"/>
    <w:rsid w:val="6C136503"/>
    <w:rsid w:val="6D0E585E"/>
    <w:rsid w:val="6DB66B14"/>
    <w:rsid w:val="6E131D53"/>
    <w:rsid w:val="6E795C56"/>
    <w:rsid w:val="6EC33E4D"/>
    <w:rsid w:val="6FAB483F"/>
    <w:rsid w:val="700248F4"/>
    <w:rsid w:val="714C1763"/>
    <w:rsid w:val="726D6236"/>
    <w:rsid w:val="733C1230"/>
    <w:rsid w:val="73666E22"/>
    <w:rsid w:val="7415592D"/>
    <w:rsid w:val="74303E02"/>
    <w:rsid w:val="759A38E5"/>
    <w:rsid w:val="76601E4F"/>
    <w:rsid w:val="778B2337"/>
    <w:rsid w:val="77AB4127"/>
    <w:rsid w:val="784D6288"/>
    <w:rsid w:val="793F1E5F"/>
    <w:rsid w:val="79A839C0"/>
    <w:rsid w:val="79C72C15"/>
    <w:rsid w:val="7AAD6A99"/>
    <w:rsid w:val="7B750B8B"/>
    <w:rsid w:val="7C6D2323"/>
    <w:rsid w:val="7E1E4DED"/>
    <w:rsid w:val="7EBC2CB0"/>
    <w:rsid w:val="7FC85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02C56-0D45-4FCF-ADEB-0774712E9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12</Pages>
  <Words>4357</Words>
  <Characters>2234</Characters>
  <Lines>18</Lines>
  <Paragraphs>13</Paragraphs>
  <TotalTime>249</TotalTime>
  <ScaleCrop>false</ScaleCrop>
  <LinksUpToDate>false</LinksUpToDate>
  <CharactersWithSpaces>6578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2017-02-04T03:11:00Z</dcterms:created>
  <dc:creator>nobody</dc:creator>
  <cp:lastModifiedBy>未定义</cp:lastModifiedBy>
  <cp:lastPrinted>2021-04-13T01:00:00Z</cp:lastPrinted>
  <dcterms:modified xsi:type="dcterms:W3CDTF">2021-11-05T02:59:21Z</dcterms:modified>
  <dc:title>曲靖市2011年国民经济和社会发展统计公报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1C96648DBAFC4368B46105F0D9FF229C</vt:lpwstr>
  </property>
</Properties>
</file>