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</w:rPr>
      </w:pPr>
      <w:bookmarkStart w:id="0" w:name="_Toc114483297"/>
      <w:bookmarkStart w:id="1" w:name="_Toc79944929"/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</w:rPr>
        <w:t>附件3</w:t>
      </w:r>
      <w:bookmarkEnd w:id="0"/>
      <w:bookmarkStart w:id="2" w:name="_GoBack"/>
      <w:bookmarkEnd w:id="2"/>
    </w:p>
    <w:p>
      <w:p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jc w:val="center"/>
        <w:textAlignment w:val="auto"/>
        <w:rPr>
          <w:rFonts w:ascii="方正小标宋_GBK" w:hAnsi="Calibri" w:eastAsia="方正小标宋_GBK" w:cs="FZXBSK--GBK1-0"/>
          <w:kern w:val="0"/>
          <w:sz w:val="39"/>
          <w:szCs w:val="39"/>
        </w:rPr>
      </w:pPr>
      <w:r>
        <w:rPr>
          <w:rFonts w:ascii="方正小标宋_GBK" w:hAnsi="Calibri" w:eastAsia="方正小标宋_GBK" w:cs="FZXBSK--GBK1-0"/>
          <w:kern w:val="0"/>
          <w:sz w:val="39"/>
          <w:szCs w:val="39"/>
        </w:rPr>
        <w:t>指标解释</w:t>
      </w:r>
      <w:bookmarkEnd w:id="1"/>
    </w:p>
    <w:p>
      <w:p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jc w:val="both"/>
        <w:textAlignment w:val="auto"/>
        <w:rPr>
          <w:rFonts w:ascii="方正小标宋_GBK" w:hAnsi="Calibri" w:eastAsia="方正小标宋_GBK" w:cs="FZXBSK--GBK1-0"/>
          <w:kern w:val="0"/>
          <w:sz w:val="39"/>
          <w:szCs w:val="39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000000"/>
          <w:szCs w:val="28"/>
        </w:rPr>
      </w:pPr>
      <w:r>
        <w:rPr>
          <w:rFonts w:hint="default" w:ascii="Times New Roman" w:hAnsi="Times New Roman" w:eastAsia="方正小标宋_GBK" w:cs="Times New Roman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5G基</w:t>
      </w:r>
      <w:r>
        <w:rPr>
          <w:rFonts w:hint="default" w:ascii="Times New Roman" w:hAnsi="Times New Roman" w:cs="Times New Roman"/>
          <w:color w:val="000000"/>
          <w:szCs w:val="28"/>
        </w:rPr>
        <w:t>站数量（个）：全市整网5G基站总数量。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000000"/>
          <w:szCs w:val="28"/>
        </w:rPr>
      </w:pPr>
      <w:r>
        <w:rPr>
          <w:rFonts w:hint="default" w:ascii="Times New Roman" w:hAnsi="Times New Roman" w:cs="Times New Roman"/>
          <w:color w:val="000000"/>
          <w:szCs w:val="28"/>
          <w:lang w:val="en-US" w:eastAsia="zh-CN"/>
        </w:rPr>
        <w:t>2.</w:t>
      </w:r>
      <w:r>
        <w:rPr>
          <w:rFonts w:hint="default" w:ascii="Times New Roman" w:hAnsi="Times New Roman" w:cs="Times New Roman"/>
          <w:color w:val="000000"/>
          <w:szCs w:val="28"/>
        </w:rPr>
        <w:t>10GPON端口（万个）：宽带接入速率能够达到10000Mbps及以上实际安装运行的端口。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000000"/>
          <w:szCs w:val="28"/>
        </w:rPr>
      </w:pPr>
      <w:r>
        <w:rPr>
          <w:rFonts w:hint="default" w:ascii="Times New Roman" w:hAnsi="Times New Roman" w:cs="Times New Roman"/>
          <w:color w:val="000000"/>
          <w:szCs w:val="28"/>
          <w:lang w:val="en-US" w:eastAsia="zh-CN"/>
        </w:rPr>
        <w:t>3.</w:t>
      </w:r>
      <w:r>
        <w:rPr>
          <w:rFonts w:hint="default" w:ascii="Times New Roman" w:hAnsi="Times New Roman" w:cs="Times New Roman"/>
          <w:color w:val="000000"/>
          <w:szCs w:val="28"/>
        </w:rPr>
        <w:t>移动网络IPv6流量占比(%)：移动网络IPv6流量与总移动网络流量之比。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val="en-US" w:eastAsia="zh-CN"/>
        </w:rPr>
        <w:t>4.</w:t>
      </w:r>
      <w:r>
        <w:rPr>
          <w:rFonts w:hint="default" w:ascii="Times New Roman" w:hAnsi="Times New Roman" w:cs="Times New Roman"/>
          <w:color w:val="000000"/>
        </w:rPr>
        <w:t>互联网市际出口带宽（Tbps）：本市电信企业与上级节点之间的互联网连接总带宽。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cs="Times New Roman"/>
          <w:color w:val="000000"/>
          <w:szCs w:val="28"/>
        </w:rPr>
      </w:pPr>
      <w:r>
        <w:rPr>
          <w:rFonts w:hint="default" w:ascii="Times New Roman" w:hAnsi="Times New Roman" w:cs="Times New Roman"/>
          <w:color w:val="000000"/>
          <w:lang w:val="en-US" w:eastAsia="zh-CN"/>
        </w:rPr>
        <w:t>5.</w:t>
      </w:r>
      <w:r>
        <w:rPr>
          <w:rFonts w:hint="default" w:ascii="Times New Roman" w:hAnsi="Times New Roman" w:cs="Times New Roman"/>
          <w:color w:val="000000"/>
          <w:szCs w:val="28"/>
        </w:rPr>
        <w:t>物联网终端接入数量（万户）：指通过运营商网络接入的物联网终端数量。物联网终端即链接传感网络层和传输</w:t>
      </w:r>
      <w:r>
        <w:rPr>
          <w:rFonts w:hint="eastAsia" w:cs="Times New Roman"/>
          <w:color w:val="000000"/>
          <w:szCs w:val="28"/>
        </w:rPr>
        <w:t>层实现远程采集数据及向网络层发送数据的物联网设备。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cs="Times New Roman"/>
          <w:color w:val="000000"/>
          <w:szCs w:val="28"/>
        </w:rPr>
      </w:pPr>
      <w:r>
        <w:rPr>
          <w:rFonts w:hint="eastAsia" w:cs="Times New Roman"/>
          <w:color w:val="000000"/>
          <w:szCs w:val="28"/>
          <w:lang w:val="en-US" w:eastAsia="zh-CN"/>
        </w:rPr>
        <w:t>6.</w:t>
      </w:r>
      <w:r>
        <w:rPr>
          <w:rFonts w:cs="Times New Roman"/>
          <w:color w:val="000000"/>
          <w:szCs w:val="28"/>
        </w:rPr>
        <w:t>工业互联网标识注册量（</w:t>
      </w:r>
      <w:r>
        <w:rPr>
          <w:rFonts w:hint="eastAsia" w:cs="Times New Roman"/>
          <w:color w:val="000000"/>
          <w:szCs w:val="28"/>
        </w:rPr>
        <w:t>亿</w:t>
      </w:r>
      <w:r>
        <w:rPr>
          <w:rFonts w:cs="Times New Roman"/>
          <w:color w:val="000000"/>
          <w:szCs w:val="28"/>
        </w:rPr>
        <w:t>个）：全</w:t>
      </w:r>
      <w:r>
        <w:rPr>
          <w:rFonts w:hint="eastAsia" w:cs="Times New Roman"/>
          <w:color w:val="000000"/>
          <w:szCs w:val="28"/>
        </w:rPr>
        <w:t>市</w:t>
      </w:r>
      <w:r>
        <w:rPr>
          <w:rFonts w:cs="Times New Roman"/>
          <w:color w:val="000000"/>
          <w:szCs w:val="28"/>
        </w:rPr>
        <w:t>范围内，通过各个工业互联网标识解析二级节点，已开展的工业产品、设备的编码数量。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cs="Times New Roman"/>
          <w:color w:val="000000"/>
          <w:szCs w:val="28"/>
        </w:rPr>
      </w:pPr>
      <w:r>
        <w:rPr>
          <w:rFonts w:hint="eastAsia" w:cs="Times New Roman"/>
          <w:color w:val="000000"/>
          <w:szCs w:val="28"/>
          <w:lang w:val="en-US" w:eastAsia="zh-CN"/>
        </w:rPr>
        <w:t>7.</w:t>
      </w:r>
      <w:r>
        <w:rPr>
          <w:rFonts w:cs="Times New Roman"/>
          <w:color w:val="000000"/>
          <w:szCs w:val="28"/>
        </w:rPr>
        <w:t>公共充电桩数量（万枪）：</w:t>
      </w:r>
      <w:r>
        <w:rPr>
          <w:rFonts w:hint="eastAsia" w:cs="Times New Roman"/>
          <w:color w:val="000000"/>
          <w:szCs w:val="28"/>
        </w:rPr>
        <w:t>为社会公众提供公共服务的公共充电桩数量</w:t>
      </w:r>
      <w:r>
        <w:rPr>
          <w:rFonts w:cs="Times New Roman"/>
          <w:color w:val="000000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cs="Times New Roman"/>
          <w:color w:val="000000"/>
          <w:szCs w:val="28"/>
        </w:rPr>
      </w:pPr>
      <w:r>
        <w:rPr>
          <w:rFonts w:hint="eastAsia" w:cs="Times New Roman"/>
          <w:color w:val="000000"/>
          <w:szCs w:val="28"/>
          <w:lang w:val="en-US" w:eastAsia="zh-CN"/>
        </w:rPr>
        <w:t>8.</w:t>
      </w:r>
      <w:r>
        <w:rPr>
          <w:rFonts w:hint="eastAsia" w:cs="Times New Roman"/>
          <w:color w:val="000000"/>
          <w:szCs w:val="28"/>
        </w:rPr>
        <w:t>数字农业示范基地数量（个）：经省级认定的数字农业示范基地的数量。数字农业示范基地是指以企业为主体，创新运用数字技术提升改造传统农业产业链，帮助提升农业生产效能且建设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cs="Times New Roman"/>
          <w:color w:val="000000"/>
          <w:szCs w:val="28"/>
        </w:rPr>
      </w:pPr>
      <w:r>
        <w:rPr>
          <w:rFonts w:hint="eastAsia" w:cs="Times New Roman"/>
          <w:color w:val="000000"/>
          <w:szCs w:val="28"/>
        </w:rPr>
        <w:t>模式可复制推广、长期运营可持续的应用示范。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cs="Times New Roman"/>
          <w:color w:val="000000"/>
          <w:szCs w:val="28"/>
        </w:rPr>
      </w:pPr>
      <w:r>
        <w:rPr>
          <w:rFonts w:hint="eastAsia" w:cs="Times New Roman"/>
          <w:color w:val="000000"/>
          <w:szCs w:val="28"/>
          <w:lang w:val="en-US" w:eastAsia="zh-CN"/>
        </w:rPr>
        <w:t>9.</w:t>
      </w:r>
      <w:r>
        <w:rPr>
          <w:rFonts w:cs="Times New Roman"/>
          <w:color w:val="000000"/>
          <w:szCs w:val="28"/>
        </w:rPr>
        <w:t>国家重点实验室数量（个）：全</w:t>
      </w:r>
      <w:r>
        <w:rPr>
          <w:rFonts w:hint="eastAsia" w:cs="Times New Roman"/>
          <w:color w:val="000000"/>
          <w:szCs w:val="28"/>
        </w:rPr>
        <w:t>市</w:t>
      </w:r>
      <w:r>
        <w:rPr>
          <w:rFonts w:cs="Times New Roman"/>
          <w:color w:val="000000"/>
          <w:szCs w:val="28"/>
        </w:rPr>
        <w:t>通过国家科技部审核并公示的国家重点实验室数量。国家重点实验室是指国家组织</w:t>
      </w:r>
      <w:r>
        <w:rPr>
          <w:rFonts w:hint="eastAsia" w:cs="Times New Roman"/>
          <w:color w:val="000000"/>
          <w:szCs w:val="28"/>
        </w:rPr>
        <w:t>进行</w:t>
      </w:r>
      <w:r>
        <w:rPr>
          <w:rFonts w:cs="Times New Roman"/>
          <w:color w:val="000000"/>
          <w:szCs w:val="28"/>
        </w:rPr>
        <w:t>高水平基础研究和应用基础研究、聚集和培养优秀科学家、开展高层次学术交流的重要基地。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宋体" w:hAnsi="宋体"/>
          <w:color w:val="000000"/>
          <w:szCs w:val="28"/>
        </w:rPr>
      </w:pPr>
      <w:r>
        <w:rPr>
          <w:rFonts w:hint="eastAsia" w:cs="Times New Roman"/>
          <w:color w:val="000000"/>
          <w:szCs w:val="28"/>
          <w:lang w:val="en-US" w:eastAsia="zh-CN"/>
        </w:rPr>
        <w:t>10.</w:t>
      </w:r>
      <w:r>
        <w:rPr>
          <w:rFonts w:ascii="宋体" w:hAnsi="宋体"/>
          <w:color w:val="000000"/>
          <w:szCs w:val="28"/>
        </w:rPr>
        <w:t>云南省工程研究中心</w:t>
      </w:r>
      <w:r>
        <w:rPr>
          <w:rFonts w:hint="eastAsia" w:ascii="宋体" w:hAnsi="宋体"/>
          <w:color w:val="000000"/>
          <w:szCs w:val="28"/>
        </w:rPr>
        <w:t>/实验室</w:t>
      </w:r>
      <w:r>
        <w:rPr>
          <w:rFonts w:ascii="宋体" w:hAnsi="宋体"/>
          <w:color w:val="000000"/>
          <w:szCs w:val="28"/>
        </w:rPr>
        <w:t>数量（个）：经省发展改革委认定的工程研究中心</w:t>
      </w:r>
      <w:r>
        <w:rPr>
          <w:rFonts w:hint="eastAsia" w:ascii="宋体" w:hAnsi="宋体"/>
          <w:color w:val="000000"/>
          <w:szCs w:val="28"/>
        </w:rPr>
        <w:t>/实验室</w:t>
      </w:r>
      <w:r>
        <w:rPr>
          <w:rFonts w:ascii="宋体" w:hAnsi="宋体"/>
          <w:color w:val="000000"/>
          <w:szCs w:val="28"/>
        </w:rPr>
        <w:t>数量。</w:t>
      </w:r>
      <w:r>
        <w:rPr>
          <w:rFonts w:hint="eastAsia" w:ascii="宋体" w:hAnsi="宋体"/>
          <w:color w:val="000000"/>
          <w:szCs w:val="28"/>
        </w:rPr>
        <w:t>云南省工程研究中心/实验室是指根据国家建设现代化经济体系的重大战略需求，以服务云南重大战略发展和重点工程实施为目标，组织具有较强研究开发和综合实力的企业、科研单位、高等院校等建设的研究开发实体，是本省创新体系的重要组成部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cs="Times New Roman"/>
          <w:color w:val="000000"/>
          <w:szCs w:val="28"/>
        </w:rPr>
      </w:pPr>
      <w:r>
        <w:rPr>
          <w:rFonts w:hint="eastAsia"/>
          <w:color w:val="000000"/>
          <w:szCs w:val="28"/>
          <w:lang w:val="en-US" w:eastAsia="zh-CN"/>
        </w:rPr>
        <w:t>11.</w:t>
      </w:r>
      <w:r>
        <w:rPr>
          <w:rFonts w:hint="eastAsia" w:cs="Times New Roman"/>
          <w:color w:val="000000"/>
          <w:szCs w:val="28"/>
        </w:rPr>
        <w:t>云南省科技企业孵化器（个）：</w:t>
      </w:r>
      <w:r>
        <w:rPr>
          <w:rFonts w:cs="Times New Roman"/>
          <w:color w:val="000000"/>
          <w:szCs w:val="28"/>
        </w:rPr>
        <w:t>经省科技厅认定的</w:t>
      </w:r>
      <w:r>
        <w:rPr>
          <w:rFonts w:hint="eastAsia" w:cs="Times New Roman"/>
          <w:color w:val="000000"/>
          <w:szCs w:val="28"/>
        </w:rPr>
        <w:t>科技企业孵化器</w:t>
      </w:r>
      <w:r>
        <w:rPr>
          <w:rFonts w:cs="Times New Roman"/>
          <w:color w:val="000000"/>
          <w:szCs w:val="28"/>
        </w:rPr>
        <w:t>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leftChars="0" w:firstLine="0" w:firstLineChars="0"/>
        <w:jc w:val="both"/>
        <w:textAlignment w:val="auto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D7C29"/>
    <w:rsid w:val="5A8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20" w:lineRule="exact"/>
      <w:jc w:val="both"/>
    </w:pPr>
    <w:rPr>
      <w:rFonts w:ascii="宋体" w:hAnsi="宋体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  <w:ind w:firstLine="20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2022-12-08T03:03:00Z</dcterms:created>
  <dc:creator>Administrator</dc:creator>
  <cp:lastModifiedBy>Administrator</cp:lastModifiedBy>
  <dcterms:modified xsi:type="dcterms:W3CDTF">2022-12-08T03:03:20Z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