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firstLine="0"/>
        <w:jc w:val="both"/>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62" w:afterLines="50" w:afterAutospacing="0" w:line="560" w:lineRule="exact"/>
        <w:jc w:val="center"/>
        <w:rPr>
          <w:rFonts w:hint="default" w:ascii="Times New Roman" w:hAnsi="Times New Roman" w:cs="Times New Roman"/>
          <w:color w:val="auto"/>
        </w:rPr>
      </w:pPr>
      <w:r>
        <w:rPr>
          <w:rFonts w:hint="default" w:ascii="Times New Roman" w:hAnsi="Times New Roman" w:eastAsia="方正小标宋_GBK" w:cs="Times New Roman"/>
          <w:color w:val="auto"/>
          <w:sz w:val="44"/>
          <w:szCs w:val="44"/>
        </w:rPr>
        <w:t>曲靖市推进城乡生活垃圾处理一体化</w:t>
      </w:r>
      <w:r>
        <w:rPr>
          <w:rFonts w:hint="eastAsia" w:ascii="Times New Roman" w:hAnsi="Times New Roman" w:eastAsia="方正小标宋_GBK" w:cs="Times New Roman"/>
          <w:color w:val="auto"/>
          <w:sz w:val="44"/>
          <w:szCs w:val="44"/>
          <w:lang w:eastAsia="zh-CN"/>
        </w:rPr>
        <w:t>任务</w:t>
      </w:r>
      <w:r>
        <w:rPr>
          <w:rFonts w:hint="default" w:ascii="Times New Roman" w:hAnsi="Times New Roman" w:eastAsia="方正小标宋_GBK" w:cs="Times New Roman"/>
          <w:color w:val="auto"/>
          <w:sz w:val="44"/>
          <w:szCs w:val="44"/>
        </w:rPr>
        <w:t>清单</w:t>
      </w:r>
    </w:p>
    <w:tbl>
      <w:tblPr>
        <w:tblStyle w:val="6"/>
        <w:tblW w:w="14811" w:type="dxa"/>
        <w:jc w:val="center"/>
        <w:tblLayout w:type="fixed"/>
        <w:tblCellMar>
          <w:top w:w="0" w:type="dxa"/>
          <w:left w:w="0" w:type="dxa"/>
          <w:bottom w:w="0" w:type="dxa"/>
          <w:right w:w="0" w:type="dxa"/>
        </w:tblCellMar>
      </w:tblPr>
      <w:tblGrid>
        <w:gridCol w:w="537"/>
        <w:gridCol w:w="920"/>
        <w:gridCol w:w="1735"/>
        <w:gridCol w:w="1189"/>
        <w:gridCol w:w="4241"/>
        <w:gridCol w:w="1725"/>
        <w:gridCol w:w="2086"/>
        <w:gridCol w:w="2378"/>
      </w:tblGrid>
      <w:tr>
        <w:tblPrEx>
          <w:tblCellMar>
            <w:top w:w="0" w:type="dxa"/>
            <w:left w:w="0" w:type="dxa"/>
            <w:bottom w:w="0" w:type="dxa"/>
            <w:right w:w="0" w:type="dxa"/>
          </w:tblCellMar>
        </w:tblPrEx>
        <w:trPr>
          <w:trHeight w:val="23" w:hRule="atLeast"/>
          <w:jc w:val="center"/>
        </w:trPr>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序号</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县（市、区）</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项目名称</w:t>
            </w:r>
          </w:p>
        </w:tc>
        <w:tc>
          <w:tcPr>
            <w:tcW w:w="5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年度工作任务</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责任单位</w:t>
            </w:r>
          </w:p>
        </w:tc>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市级牵头单位</w:t>
            </w:r>
          </w:p>
        </w:tc>
        <w:tc>
          <w:tcPr>
            <w:tcW w:w="2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kern w:val="0"/>
                <w:sz w:val="24"/>
                <w:szCs w:val="24"/>
              </w:rPr>
              <w:t>市级配合单位</w:t>
            </w:r>
          </w:p>
        </w:tc>
      </w:tr>
      <w:tr>
        <w:tblPrEx>
          <w:tblCellMar>
            <w:top w:w="0" w:type="dxa"/>
            <w:left w:w="0" w:type="dxa"/>
            <w:bottom w:w="0" w:type="dxa"/>
            <w:right w:w="0" w:type="dxa"/>
          </w:tblCellMar>
        </w:tblPrEx>
        <w:trPr>
          <w:trHeight w:val="1072" w:hRule="atLeast"/>
          <w:jc w:val="center"/>
        </w:trPr>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1</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麒麟区</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城乡垃圾处理一体化</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w:t>
            </w:r>
            <w:r>
              <w:rPr>
                <w:rFonts w:hint="eastAsia" w:ascii="Times New Roman" w:hAnsi="Times New Roman" w:eastAsia="方正仿宋_GBK" w:cs="Times New Roman"/>
                <w:color w:val="auto"/>
                <w:kern w:val="0"/>
                <w:sz w:val="21"/>
                <w:szCs w:val="21"/>
                <w:lang w:val="en-US" w:eastAsia="zh-CN"/>
              </w:rPr>
              <w:t>3</w:t>
            </w:r>
            <w:r>
              <w:rPr>
                <w:rFonts w:hint="default" w:ascii="Times New Roman" w:hAnsi="Times New Roman" w:eastAsia="方正仿宋_GBK" w:cs="Times New Roman"/>
                <w:color w:val="auto"/>
                <w:kern w:val="0"/>
                <w:sz w:val="21"/>
                <w:szCs w:val="21"/>
              </w:rPr>
              <w:t>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珠街街道、沿江街道、三宝街道、潇湘街道、茨营镇生活垃圾转运到曲靖市城市生活垃圾焚烧发电厂集中处理</w:t>
            </w:r>
            <w:r>
              <w:rPr>
                <w:rFonts w:hint="eastAsia" w:ascii="Times New Roman" w:hAnsi="Times New Roman" w:eastAsia="方正仿宋_GBK" w:cs="Times New Roman"/>
                <w:color w:val="auto"/>
                <w:kern w:val="0"/>
                <w:sz w:val="21"/>
                <w:szCs w:val="21"/>
                <w:lang w:eastAsia="zh-CN"/>
              </w:rPr>
              <w:t>。</w:t>
            </w:r>
            <w:r>
              <w:rPr>
                <w:rFonts w:hint="default" w:ascii="Times New Roman" w:hAnsi="Times New Roman" w:eastAsia="方正仿宋_GBK" w:cs="Times New Roman"/>
                <w:color w:val="auto"/>
                <w:kern w:val="0"/>
                <w:sz w:val="21"/>
                <w:szCs w:val="21"/>
              </w:rPr>
              <w:t>东山镇、越州镇</w:t>
            </w:r>
            <w:r>
              <w:rPr>
                <w:rFonts w:hint="eastAsia" w:ascii="Times New Roman" w:hAnsi="Times New Roman" w:eastAsia="方正仿宋_GBK" w:cs="Times New Roman"/>
                <w:color w:val="auto"/>
                <w:kern w:val="0"/>
                <w:sz w:val="21"/>
                <w:szCs w:val="21"/>
                <w:lang w:eastAsia="zh-CN"/>
              </w:rPr>
              <w:t>生活垃圾利用现有热解站规范处置</w:t>
            </w:r>
            <w:r>
              <w:rPr>
                <w:rFonts w:hint="default" w:ascii="Times New Roman" w:hAnsi="Times New Roman" w:eastAsia="方正仿宋_GBK" w:cs="Times New Roman"/>
                <w:color w:val="auto"/>
                <w:kern w:val="0"/>
                <w:sz w:val="21"/>
                <w:szCs w:val="21"/>
              </w:rPr>
              <w:t>。</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麒麟区人民政府</w:t>
            </w:r>
          </w:p>
        </w:tc>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1038"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w:t>
            </w:r>
          </w:p>
        </w:tc>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沾益区</w:t>
            </w: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曲靖市1200吨/日生活垃圾焚烧发电厂提标改造工程</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1.启动</w:t>
            </w:r>
            <w:r>
              <w:rPr>
                <w:rFonts w:hint="default" w:ascii="Times New Roman" w:hAnsi="Times New Roman" w:eastAsia="方正仿宋_GBK" w:cs="Times New Roman"/>
                <w:color w:val="auto"/>
                <w:kern w:val="0"/>
                <w:sz w:val="21"/>
                <w:szCs w:val="21"/>
              </w:rPr>
              <w:t>曲靖市1200吨/日生活垃圾焚烧发电厂提标改造工程。</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2.花山街道、白水镇、德泽乡新建3座垃圾中转站。</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沾益区人民政府</w:t>
            </w:r>
          </w:p>
        </w:tc>
        <w:tc>
          <w:tcPr>
            <w:tcW w:w="2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197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1200吨/日生活垃圾焚烧发电厂</w:t>
            </w:r>
            <w:r>
              <w:rPr>
                <w:rFonts w:hint="eastAsia" w:ascii="Times New Roman" w:hAnsi="Times New Roman" w:eastAsia="方正仿宋_GBK" w:cs="Times New Roman"/>
                <w:color w:val="auto"/>
                <w:kern w:val="0"/>
                <w:sz w:val="21"/>
                <w:szCs w:val="21"/>
                <w:lang w:val="en-US" w:eastAsia="zh-CN"/>
              </w:rPr>
              <w:t>提标改造工程建成投入试运营</w:t>
            </w:r>
            <w:r>
              <w:rPr>
                <w:rFonts w:hint="default" w:ascii="Times New Roman" w:hAnsi="Times New Roman" w:eastAsia="方正仿宋_GBK" w:cs="Times New Roman"/>
                <w:color w:val="auto"/>
                <w:kern w:val="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2.</w:t>
            </w:r>
            <w:r>
              <w:rPr>
                <w:rFonts w:hint="default" w:ascii="Times New Roman" w:hAnsi="Times New Roman" w:eastAsia="方正仿宋_GBK" w:cs="Times New Roman"/>
                <w:color w:val="auto"/>
                <w:kern w:val="0"/>
                <w:sz w:val="21"/>
                <w:szCs w:val="21"/>
              </w:rPr>
              <w:t>菱角乡新建</w:t>
            </w: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座垃圾中转站。</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val="en-US" w:eastAsia="zh-CN"/>
              </w:rPr>
              <w:t>3.花</w:t>
            </w:r>
            <w:r>
              <w:rPr>
                <w:rFonts w:hint="default" w:ascii="Times New Roman" w:hAnsi="Times New Roman" w:eastAsia="方正仿宋_GBK" w:cs="Times New Roman"/>
                <w:color w:val="auto"/>
                <w:kern w:val="0"/>
                <w:sz w:val="21"/>
                <w:szCs w:val="21"/>
              </w:rPr>
              <w:t>山街道、德泽乡、菱角乡、白水镇生活垃圾转运到曲靖市城市生活垃圾焚烧发电厂集中处理。盘江镇、炎方乡、播乐乡、大坡乡</w:t>
            </w:r>
            <w:r>
              <w:rPr>
                <w:rFonts w:hint="eastAsia" w:ascii="Times New Roman" w:hAnsi="Times New Roman" w:eastAsia="方正仿宋_GBK" w:cs="Times New Roman"/>
                <w:color w:val="auto"/>
                <w:kern w:val="0"/>
                <w:sz w:val="21"/>
                <w:szCs w:val="21"/>
                <w:lang w:eastAsia="zh-CN"/>
              </w:rPr>
              <w:t>生活垃圾利用现有热解站规范处置</w:t>
            </w:r>
            <w:r>
              <w:rPr>
                <w:rFonts w:hint="default" w:ascii="Times New Roman" w:hAnsi="Times New Roman" w:eastAsia="方正仿宋_GBK" w:cs="Times New Roman"/>
                <w:color w:val="auto"/>
                <w:kern w:val="0"/>
                <w:sz w:val="21"/>
                <w:szCs w:val="21"/>
              </w:rPr>
              <w:t>。</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1465" w:hRule="atLeast"/>
          <w:jc w:val="center"/>
        </w:trPr>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Times New Roman" w:hAnsi="Times New Roman" w:eastAsia="方正仿宋_GBK" w:cs="Times New Roman"/>
                <w:color w:val="auto"/>
                <w:sz w:val="21"/>
                <w:szCs w:val="21"/>
                <w:lang w:val="en-US" w:eastAsia="zh-CN"/>
              </w:rPr>
            </w:pPr>
            <w:r>
              <w:rPr>
                <w:rFonts w:hint="eastAsia" w:ascii="Times New Roman" w:hAnsi="Times New Roman" w:eastAsia="方正仿宋_GBK" w:cs="Times New Roman"/>
                <w:color w:val="auto"/>
                <w:sz w:val="21"/>
                <w:szCs w:val="21"/>
                <w:lang w:val="en-US" w:eastAsia="zh-CN"/>
              </w:rPr>
              <w:t>3</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sz w:val="21"/>
                <w:szCs w:val="21"/>
                <w:lang w:eastAsia="zh-CN"/>
              </w:rPr>
              <w:t>马龙区</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城乡垃圾处理一体化</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w:t>
            </w:r>
            <w:r>
              <w:rPr>
                <w:rFonts w:hint="eastAsia" w:ascii="Times New Roman" w:hAnsi="Times New Roman" w:eastAsia="方正仿宋_GBK" w:cs="Times New Roman"/>
                <w:color w:val="auto"/>
                <w:kern w:val="0"/>
                <w:sz w:val="21"/>
                <w:szCs w:val="21"/>
                <w:lang w:val="en-US" w:eastAsia="zh-CN"/>
              </w:rPr>
              <w:t>2</w:t>
            </w:r>
            <w:r>
              <w:rPr>
                <w:rFonts w:hint="default" w:ascii="Times New Roman" w:hAnsi="Times New Roman" w:eastAsia="方正仿宋_GBK" w:cs="Times New Roman"/>
                <w:color w:val="auto"/>
                <w:kern w:val="0"/>
                <w:sz w:val="21"/>
                <w:szCs w:val="21"/>
              </w:rPr>
              <w:t>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val="en-US" w:eastAsia="zh-CN"/>
              </w:rPr>
              <w:t>1.</w:t>
            </w:r>
            <w:r>
              <w:rPr>
                <w:rFonts w:hint="eastAsia" w:ascii="Times New Roman" w:hAnsi="Times New Roman" w:eastAsia="方正仿宋_GBK" w:cs="Times New Roman"/>
                <w:color w:val="auto"/>
                <w:kern w:val="0"/>
                <w:sz w:val="21"/>
                <w:szCs w:val="21"/>
                <w:lang w:eastAsia="zh-CN"/>
              </w:rPr>
              <w:t>鸡头村街道</w:t>
            </w:r>
            <w:r>
              <w:rPr>
                <w:rFonts w:hint="default" w:ascii="Times New Roman" w:hAnsi="Times New Roman" w:eastAsia="方正仿宋_GBK" w:cs="Times New Roman"/>
                <w:color w:val="auto"/>
                <w:kern w:val="0"/>
                <w:sz w:val="21"/>
                <w:szCs w:val="21"/>
              </w:rPr>
              <w:t>生活垃圾转运到曲靖市城市生活垃圾焚烧发电厂集中处理。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val="en-US" w:eastAsia="zh-CN"/>
              </w:rPr>
              <w:t>2.</w:t>
            </w:r>
            <w:r>
              <w:rPr>
                <w:rFonts w:hint="default" w:ascii="Times New Roman" w:hAnsi="Times New Roman" w:eastAsia="方正仿宋_GBK" w:cs="Times New Roman"/>
                <w:color w:val="auto"/>
                <w:kern w:val="0"/>
                <w:sz w:val="21"/>
                <w:szCs w:val="21"/>
              </w:rPr>
              <w:t>王家庄街道、张安屯街道、旧县街道、马过河镇、纳章镇、马鸣乡、月望乡、大庄乡</w:t>
            </w:r>
            <w:r>
              <w:rPr>
                <w:rFonts w:hint="eastAsia" w:ascii="Times New Roman" w:hAnsi="Times New Roman" w:eastAsia="方正仿宋_GBK" w:cs="Times New Roman"/>
                <w:color w:val="auto"/>
                <w:kern w:val="0"/>
                <w:sz w:val="21"/>
                <w:szCs w:val="21"/>
                <w:lang w:eastAsia="zh-CN"/>
              </w:rPr>
              <w:t>生活垃圾利用现有热解站规范处置</w:t>
            </w:r>
            <w:r>
              <w:rPr>
                <w:rFonts w:hint="default" w:ascii="Times New Roman" w:hAnsi="Times New Roman" w:eastAsia="方正仿宋_GBK" w:cs="Times New Roman"/>
                <w:color w:val="auto"/>
                <w:kern w:val="0"/>
                <w:sz w:val="21"/>
                <w:szCs w:val="21"/>
              </w:rPr>
              <w:t>。</w:t>
            </w:r>
          </w:p>
        </w:tc>
        <w:tc>
          <w:tcPr>
            <w:tcW w:w="17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sz w:val="21"/>
                <w:szCs w:val="21"/>
                <w:lang w:eastAsia="zh-CN"/>
              </w:rPr>
              <w:t>马龙区人民政府</w:t>
            </w:r>
          </w:p>
        </w:tc>
        <w:tc>
          <w:tcPr>
            <w:tcW w:w="2086"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0"/>
                <w:sz w:val="21"/>
                <w:szCs w:val="21"/>
                <w:lang w:eastAsia="zh-CN"/>
              </w:rPr>
              <w:t>市住房城乡建设局</w:t>
            </w:r>
          </w:p>
        </w:tc>
        <w:tc>
          <w:tcPr>
            <w:tcW w:w="237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23" w:hRule="atLeast"/>
          <w:jc w:val="center"/>
        </w:trPr>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4</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曲靖经开区</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城乡垃圾处理一体化</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w:t>
            </w:r>
            <w:r>
              <w:rPr>
                <w:rFonts w:hint="default" w:ascii="Times New Roman" w:hAnsi="Times New Roman" w:eastAsia="方正仿宋_GBK" w:cs="Times New Roman"/>
                <w:color w:val="auto"/>
                <w:kern w:val="0"/>
                <w:sz w:val="21"/>
                <w:szCs w:val="21"/>
                <w:lang w:val="en-US" w:eastAsia="zh-CN"/>
              </w:rPr>
              <w:t>2</w:t>
            </w:r>
            <w:r>
              <w:rPr>
                <w:rFonts w:hint="default" w:ascii="Times New Roman" w:hAnsi="Times New Roman" w:eastAsia="方正仿宋_GBK" w:cs="Times New Roman"/>
                <w:color w:val="auto"/>
                <w:kern w:val="0"/>
                <w:sz w:val="21"/>
                <w:szCs w:val="21"/>
              </w:rPr>
              <w:t>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将翠峰街道、西城街道以及村庄生活垃圾转运到曲靖市城市生活垃圾焚烧发电厂集中处理。</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曲靖经开区管委会</w:t>
            </w:r>
          </w:p>
        </w:tc>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23"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5</w:t>
            </w:r>
          </w:p>
        </w:tc>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宣威市</w:t>
            </w: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城乡垃圾处理一体化</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来宾街道、板桥街道、龙潭镇、热水镇、格宜镇、海岱镇、宝山镇、羊场镇、倘塘镇、落水镇、龙场镇、务德镇、东山镇、西泽乡、杨柳乡、文兴乡、双河乡、乐丰乡、得禄乡、普立乡生活垃圾转运到焚烧发电厂集中处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2.板桥街道、来宾街道、凤凰街道、落水镇、龙潭镇、倘塘镇、龙场镇新建7座垃圾中转站。</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宣威市人民政府</w:t>
            </w:r>
          </w:p>
        </w:tc>
        <w:tc>
          <w:tcPr>
            <w:tcW w:w="2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2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热水镇、格宜镇、杨柳镇、东山镇、宝山镇、普立乡、羊场镇、西泽乡新建8座垃圾中转站。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2024年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阿都乡、文兴乡、海岱镇、田坝镇、得禄乡、乐丰乡、双河乡、务德镇新建8座垃圾中转站。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6</w:t>
            </w:r>
          </w:p>
        </w:tc>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陆良县</w:t>
            </w: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lang w:eastAsia="zh-CN"/>
              </w:rPr>
            </w:pPr>
            <w:r>
              <w:rPr>
                <w:rFonts w:hint="default" w:ascii="Times New Roman" w:hAnsi="Times New Roman" w:eastAsia="方正仿宋_GBK" w:cs="Times New Roman"/>
                <w:color w:val="auto"/>
                <w:kern w:val="0"/>
                <w:sz w:val="21"/>
                <w:szCs w:val="21"/>
              </w:rPr>
              <w:t>400吨/日生活垃圾</w:t>
            </w:r>
            <w:r>
              <w:rPr>
                <w:rFonts w:hint="default" w:ascii="Times New Roman" w:hAnsi="Times New Roman" w:eastAsia="方正仿宋_GBK" w:cs="Times New Roman"/>
                <w:color w:val="auto"/>
                <w:kern w:val="0"/>
                <w:sz w:val="21"/>
                <w:szCs w:val="21"/>
                <w:lang w:eastAsia="zh-CN"/>
              </w:rPr>
              <w:t>综合利用处置设施</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启动日处理能力400吨的</w:t>
            </w:r>
            <w:r>
              <w:rPr>
                <w:rFonts w:hint="eastAsia" w:ascii="Times New Roman" w:hAnsi="Times New Roman" w:eastAsia="方正仿宋_GBK" w:cs="Times New Roman"/>
                <w:color w:val="auto"/>
                <w:kern w:val="0"/>
                <w:sz w:val="21"/>
                <w:szCs w:val="21"/>
                <w:lang w:eastAsia="zh-CN"/>
              </w:rPr>
              <w:t>生</w:t>
            </w:r>
            <w:r>
              <w:rPr>
                <w:rFonts w:hint="default" w:ascii="Times New Roman" w:hAnsi="Times New Roman" w:eastAsia="方正仿宋_GBK" w:cs="Times New Roman"/>
                <w:color w:val="auto"/>
                <w:kern w:val="0"/>
                <w:sz w:val="21"/>
                <w:szCs w:val="21"/>
              </w:rPr>
              <w:t>活垃圾</w:t>
            </w:r>
            <w:r>
              <w:rPr>
                <w:rFonts w:hint="default" w:ascii="Times New Roman" w:hAnsi="Times New Roman" w:eastAsia="方正仿宋_GBK" w:cs="Times New Roman"/>
                <w:color w:val="auto"/>
                <w:kern w:val="0"/>
                <w:sz w:val="21"/>
                <w:szCs w:val="21"/>
                <w:lang w:eastAsia="zh-CN"/>
              </w:rPr>
              <w:t>综合利用处置设施建设</w:t>
            </w:r>
            <w:r>
              <w:rPr>
                <w:rFonts w:hint="default" w:ascii="Times New Roman" w:hAnsi="Times New Roman" w:eastAsia="方正仿宋_GBK" w:cs="Times New Roman"/>
                <w:color w:val="auto"/>
                <w:kern w:val="0"/>
                <w:sz w:val="21"/>
                <w:szCs w:val="21"/>
              </w:rPr>
              <w:t>。</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陆良县人民政府</w:t>
            </w:r>
          </w:p>
        </w:tc>
        <w:tc>
          <w:tcPr>
            <w:tcW w:w="2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、市财政局、市自然资源和规划局、市生态环境局、市水务局、市林草局</w:t>
            </w:r>
          </w:p>
        </w:tc>
      </w:tr>
      <w:tr>
        <w:tblPrEx>
          <w:tblCellMar>
            <w:top w:w="0" w:type="dxa"/>
            <w:left w:w="0" w:type="dxa"/>
            <w:bottom w:w="0" w:type="dxa"/>
            <w:right w:w="0" w:type="dxa"/>
          </w:tblCellMar>
        </w:tblPrEx>
        <w:trPr>
          <w:trHeight w:val="2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400吨</w:t>
            </w:r>
            <w:r>
              <w:rPr>
                <w:rFonts w:hint="eastAsia" w:ascii="Times New Roman" w:hAnsi="Times New Roman" w:eastAsia="方正仿宋_GBK" w:cs="Times New Roman"/>
                <w:color w:val="auto"/>
                <w:kern w:val="0"/>
                <w:sz w:val="21"/>
                <w:szCs w:val="21"/>
                <w:lang w:eastAsia="zh-CN"/>
              </w:rPr>
              <w:t>生</w:t>
            </w:r>
            <w:r>
              <w:rPr>
                <w:rFonts w:hint="default" w:ascii="Times New Roman" w:hAnsi="Times New Roman" w:eastAsia="方正仿宋_GBK" w:cs="Times New Roman"/>
                <w:color w:val="auto"/>
                <w:kern w:val="0"/>
                <w:sz w:val="21"/>
                <w:szCs w:val="21"/>
              </w:rPr>
              <w:t>活垃圾</w:t>
            </w:r>
            <w:r>
              <w:rPr>
                <w:rFonts w:hint="default" w:ascii="Times New Roman" w:hAnsi="Times New Roman" w:eastAsia="方正仿宋_GBK" w:cs="Times New Roman"/>
                <w:color w:val="auto"/>
                <w:kern w:val="0"/>
                <w:sz w:val="21"/>
                <w:szCs w:val="21"/>
                <w:lang w:eastAsia="zh-CN"/>
              </w:rPr>
              <w:t>综合利用处置设施</w:t>
            </w:r>
            <w:r>
              <w:rPr>
                <w:rFonts w:hint="eastAsia" w:ascii="Times New Roman" w:hAnsi="Times New Roman" w:eastAsia="方正仿宋_GBK" w:cs="Times New Roman"/>
                <w:color w:val="auto"/>
                <w:kern w:val="0"/>
                <w:sz w:val="21"/>
                <w:szCs w:val="21"/>
                <w:lang w:eastAsia="zh-CN"/>
              </w:rPr>
              <w:t>建成投入试运营</w:t>
            </w:r>
            <w:r>
              <w:rPr>
                <w:rFonts w:hint="default" w:ascii="Times New Roman" w:hAnsi="Times New Roman" w:eastAsia="方正仿宋_GBK" w:cs="Times New Roman"/>
                <w:color w:val="auto"/>
                <w:kern w:val="0"/>
                <w:sz w:val="21"/>
                <w:szCs w:val="21"/>
              </w:rPr>
              <w:t>，将板桥镇、三岔河镇、马街镇、芳华镇、召夸镇、小百户镇、大莫古镇</w:t>
            </w:r>
            <w:r>
              <w:rPr>
                <w:rFonts w:hint="default" w:ascii="Times New Roman" w:hAnsi="Times New Roman" w:eastAsia="方正仿宋_GBK" w:cs="Times New Roman"/>
                <w:color w:val="auto"/>
                <w:kern w:val="0"/>
                <w:sz w:val="21"/>
                <w:szCs w:val="21"/>
                <w:lang w:val="en-US" w:eastAsia="zh-CN"/>
              </w:rPr>
              <w:t>、</w:t>
            </w:r>
            <w:r>
              <w:rPr>
                <w:rFonts w:hint="default" w:ascii="Times New Roman" w:hAnsi="Times New Roman" w:eastAsia="方正仿宋_GBK" w:cs="Times New Roman"/>
                <w:color w:val="auto"/>
                <w:kern w:val="0"/>
                <w:sz w:val="21"/>
                <w:szCs w:val="21"/>
              </w:rPr>
              <w:t>活水乡、龙海乡生活垃圾转运到</w:t>
            </w:r>
            <w:r>
              <w:rPr>
                <w:rFonts w:hint="default" w:ascii="Times New Roman" w:hAnsi="Times New Roman" w:eastAsia="方正仿宋_GBK" w:cs="Times New Roman"/>
                <w:color w:val="auto"/>
                <w:kern w:val="0"/>
                <w:sz w:val="21"/>
                <w:szCs w:val="21"/>
                <w:lang w:eastAsia="zh-CN"/>
              </w:rPr>
              <w:t>县城</w:t>
            </w:r>
            <w:r>
              <w:rPr>
                <w:rFonts w:hint="default" w:ascii="Times New Roman" w:hAnsi="Times New Roman" w:eastAsia="方正仿宋_GBK" w:cs="Times New Roman"/>
                <w:color w:val="auto"/>
                <w:kern w:val="0"/>
                <w:sz w:val="21"/>
                <w:szCs w:val="21"/>
              </w:rPr>
              <w:t>处理。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2.三岔河镇（4座）、马街镇（3座）新建7座垃圾中转站。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1418"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2024年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板桥镇（3座）、活水乡（2座）、龙海乡（2座）、召夸镇（2座）、大莫古镇（2座）、小百户镇（3座）、芳华镇（3座）新建17座垃圾中转站。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p>
        </w:tc>
        <w:tc>
          <w:tcPr>
            <w:tcW w:w="92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师宗县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p>
        </w:tc>
        <w:tc>
          <w:tcPr>
            <w:tcW w:w="173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lang w:eastAsia="zh-CN"/>
              </w:rPr>
            </w:pPr>
            <w:r>
              <w:rPr>
                <w:rFonts w:hint="default" w:ascii="Times New Roman" w:hAnsi="Times New Roman" w:eastAsia="方正仿宋_GBK" w:cs="Times New Roman"/>
                <w:color w:val="auto"/>
                <w:kern w:val="0"/>
                <w:sz w:val="21"/>
                <w:szCs w:val="21"/>
              </w:rPr>
              <w:t>350吨/日生活垃圾</w:t>
            </w:r>
            <w:r>
              <w:rPr>
                <w:rFonts w:hint="default" w:ascii="Times New Roman" w:hAnsi="Times New Roman" w:eastAsia="方正仿宋_GBK" w:cs="Times New Roman"/>
                <w:color w:val="auto"/>
                <w:kern w:val="0"/>
                <w:sz w:val="21"/>
                <w:szCs w:val="21"/>
                <w:lang w:eastAsia="zh-CN"/>
              </w:rPr>
              <w:t>综合利用处置设施</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启动日处理能力350吨</w:t>
            </w:r>
            <w:r>
              <w:rPr>
                <w:rFonts w:hint="eastAsia" w:ascii="Times New Roman" w:hAnsi="Times New Roman" w:eastAsia="方正仿宋_GBK" w:cs="Times New Roman"/>
                <w:color w:val="auto"/>
                <w:kern w:val="0"/>
                <w:sz w:val="21"/>
                <w:szCs w:val="21"/>
                <w:lang w:val="en-US" w:eastAsia="zh-CN"/>
              </w:rPr>
              <w:t>生活</w:t>
            </w:r>
            <w:r>
              <w:rPr>
                <w:rFonts w:hint="default" w:ascii="Times New Roman" w:hAnsi="Times New Roman" w:eastAsia="方正仿宋_GBK" w:cs="Times New Roman"/>
                <w:color w:val="auto"/>
                <w:kern w:val="0"/>
                <w:sz w:val="21"/>
                <w:szCs w:val="21"/>
              </w:rPr>
              <w:t>垃圾</w:t>
            </w:r>
            <w:r>
              <w:rPr>
                <w:rFonts w:hint="default" w:ascii="Times New Roman" w:hAnsi="Times New Roman" w:eastAsia="方正仿宋_GBK" w:cs="Times New Roman"/>
                <w:color w:val="auto"/>
                <w:kern w:val="0"/>
                <w:sz w:val="21"/>
                <w:szCs w:val="21"/>
                <w:lang w:eastAsia="zh-CN"/>
              </w:rPr>
              <w:t>综合利用处置设施</w:t>
            </w:r>
            <w:r>
              <w:rPr>
                <w:rFonts w:hint="default" w:ascii="Times New Roman" w:hAnsi="Times New Roman" w:eastAsia="方正仿宋_GBK" w:cs="Times New Roman"/>
                <w:color w:val="auto"/>
                <w:kern w:val="0"/>
                <w:sz w:val="21"/>
                <w:szCs w:val="21"/>
              </w:rPr>
              <w:t>建设。</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2.雄壁镇（3座）、葵山镇（2座）、彩云镇（2座）新建7座垃圾中转站。</w:t>
            </w:r>
          </w:p>
        </w:tc>
        <w:tc>
          <w:tcPr>
            <w:tcW w:w="17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师宗县人民政府</w:t>
            </w:r>
          </w:p>
        </w:tc>
        <w:tc>
          <w:tcPr>
            <w:tcW w:w="208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、市财政局、市自然资源和规划局、市生态环境局、市水务局、市林草局</w:t>
            </w:r>
          </w:p>
        </w:tc>
      </w:tr>
      <w:tr>
        <w:tblPrEx>
          <w:tblCellMar>
            <w:top w:w="0" w:type="dxa"/>
            <w:left w:w="0" w:type="dxa"/>
            <w:bottom w:w="0" w:type="dxa"/>
            <w:right w:w="0" w:type="dxa"/>
          </w:tblCellMar>
        </w:tblPrEx>
        <w:trPr>
          <w:trHeight w:val="23" w:hRule="atLeast"/>
          <w:jc w:val="center"/>
        </w:trPr>
        <w:tc>
          <w:tcPr>
            <w:tcW w:w="5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p>
        </w:tc>
        <w:tc>
          <w:tcPr>
            <w:tcW w:w="9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p>
        </w:tc>
        <w:tc>
          <w:tcPr>
            <w:tcW w:w="173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350吨的</w:t>
            </w:r>
            <w:r>
              <w:rPr>
                <w:rFonts w:hint="eastAsia" w:ascii="Times New Roman" w:hAnsi="Times New Roman" w:eastAsia="方正仿宋_GBK" w:cs="Times New Roman"/>
                <w:color w:val="auto"/>
                <w:kern w:val="0"/>
                <w:sz w:val="21"/>
                <w:szCs w:val="21"/>
                <w:lang w:val="en-US" w:eastAsia="zh-CN"/>
              </w:rPr>
              <w:t>生活</w:t>
            </w:r>
            <w:r>
              <w:rPr>
                <w:rFonts w:hint="default" w:ascii="Times New Roman" w:hAnsi="Times New Roman" w:eastAsia="方正仿宋_GBK" w:cs="Times New Roman"/>
                <w:color w:val="auto"/>
                <w:kern w:val="0"/>
                <w:sz w:val="21"/>
                <w:szCs w:val="21"/>
              </w:rPr>
              <w:t>垃圾</w:t>
            </w:r>
            <w:r>
              <w:rPr>
                <w:rFonts w:hint="default" w:ascii="Times New Roman" w:hAnsi="Times New Roman" w:eastAsia="方正仿宋_GBK" w:cs="Times New Roman"/>
                <w:color w:val="auto"/>
                <w:kern w:val="0"/>
                <w:sz w:val="21"/>
                <w:szCs w:val="21"/>
                <w:lang w:eastAsia="zh-CN"/>
              </w:rPr>
              <w:t>综合利用处置设施</w:t>
            </w:r>
            <w:r>
              <w:rPr>
                <w:rFonts w:hint="default" w:ascii="Times New Roman" w:hAnsi="Times New Roman" w:eastAsia="方正仿宋_GBK" w:cs="Times New Roman"/>
                <w:color w:val="auto"/>
                <w:kern w:val="0"/>
                <w:sz w:val="21"/>
                <w:szCs w:val="21"/>
              </w:rPr>
              <w:t>建成投入</w:t>
            </w:r>
            <w:r>
              <w:rPr>
                <w:rFonts w:hint="eastAsia" w:ascii="Times New Roman" w:hAnsi="Times New Roman" w:eastAsia="方正仿宋_GBK" w:cs="Times New Roman"/>
                <w:color w:val="auto"/>
                <w:kern w:val="0"/>
                <w:sz w:val="21"/>
                <w:szCs w:val="21"/>
                <w:lang w:eastAsia="zh-CN"/>
              </w:rPr>
              <w:t>试</w:t>
            </w:r>
            <w:r>
              <w:rPr>
                <w:rFonts w:hint="default" w:ascii="Times New Roman" w:hAnsi="Times New Roman" w:eastAsia="方正仿宋_GBK" w:cs="Times New Roman"/>
                <w:color w:val="auto"/>
                <w:kern w:val="0"/>
                <w:sz w:val="21"/>
                <w:szCs w:val="21"/>
              </w:rPr>
              <w:t>运营，将大同街道、竹基镇、雄壁镇、彩云镇、葵山镇、五龙乡、龙庆乡生活垃圾全部收集转运到</w:t>
            </w:r>
            <w:r>
              <w:rPr>
                <w:rFonts w:hint="default" w:ascii="Times New Roman" w:hAnsi="Times New Roman" w:eastAsia="方正仿宋_GBK" w:cs="Times New Roman"/>
                <w:color w:val="auto"/>
                <w:kern w:val="0"/>
                <w:sz w:val="21"/>
                <w:szCs w:val="21"/>
                <w:lang w:eastAsia="zh-CN"/>
              </w:rPr>
              <w:t>县城</w:t>
            </w:r>
            <w:r>
              <w:rPr>
                <w:rFonts w:hint="default" w:ascii="Times New Roman" w:hAnsi="Times New Roman" w:eastAsia="方正仿宋_GBK" w:cs="Times New Roman"/>
                <w:color w:val="auto"/>
                <w:kern w:val="0"/>
                <w:sz w:val="21"/>
                <w:szCs w:val="21"/>
              </w:rPr>
              <w:t>处理。</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2.大同街道（1座）、丹凤街道（1座）、竹基镇（2座）新建4座垃圾中转站。</w:t>
            </w:r>
          </w:p>
        </w:tc>
        <w:tc>
          <w:tcPr>
            <w:tcW w:w="172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p>
        </w:tc>
        <w:tc>
          <w:tcPr>
            <w:tcW w:w="208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p>
        </w:tc>
        <w:tc>
          <w:tcPr>
            <w:tcW w:w="237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p>
        </w:tc>
      </w:tr>
      <w:tr>
        <w:tblPrEx>
          <w:tblCellMar>
            <w:top w:w="0" w:type="dxa"/>
            <w:left w:w="0" w:type="dxa"/>
            <w:bottom w:w="0" w:type="dxa"/>
            <w:right w:w="0" w:type="dxa"/>
          </w:tblCellMar>
        </w:tblPrEx>
        <w:trPr>
          <w:trHeight w:val="23" w:hRule="atLeast"/>
          <w:jc w:val="center"/>
        </w:trPr>
        <w:tc>
          <w:tcPr>
            <w:tcW w:w="5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p>
        </w:tc>
        <w:tc>
          <w:tcPr>
            <w:tcW w:w="92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p>
        </w:tc>
        <w:tc>
          <w:tcPr>
            <w:tcW w:w="173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2024年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高良乡（2座）、五龙乡（3座）、龙庆乡（3座）新建8座垃圾中转站。</w:t>
            </w:r>
          </w:p>
        </w:tc>
        <w:tc>
          <w:tcPr>
            <w:tcW w:w="17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p>
        </w:tc>
        <w:tc>
          <w:tcPr>
            <w:tcW w:w="208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p>
        </w:tc>
        <w:tc>
          <w:tcPr>
            <w:tcW w:w="237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p>
        </w:tc>
      </w:tr>
      <w:tr>
        <w:tblPrEx>
          <w:tblCellMar>
            <w:top w:w="0" w:type="dxa"/>
            <w:left w:w="0" w:type="dxa"/>
            <w:bottom w:w="0" w:type="dxa"/>
            <w:right w:w="0" w:type="dxa"/>
          </w:tblCellMar>
        </w:tblPrEx>
        <w:trPr>
          <w:trHeight w:val="199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8</w:t>
            </w:r>
          </w:p>
        </w:tc>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罗平县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城乡垃圾处理一体化</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腊山街道、九龙街道、板桥镇、马街镇、阿岗镇、富乐镇、大水井乡、鲁布革乡、旧屋基乡、长底乡、老厂乡、钟山乡生活垃圾转运到焚烧发电厂处理。</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2.大水井乡（2座）、鲁布革乡（2座）新建4座垃圾中转站。</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罗平县人民政府</w:t>
            </w:r>
          </w:p>
        </w:tc>
        <w:tc>
          <w:tcPr>
            <w:tcW w:w="2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2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罗雄街道（1座）、九龙街道（2座）、富乐镇（3座）、马街镇（4座）、阿岗镇（4座）、老厂乡（3座）、钟山乡（3座）新建20座垃圾中转站。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2024年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板桥镇、长底乡新建2座垃圾中转站。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9</w:t>
            </w:r>
          </w:p>
        </w:tc>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富源县</w:t>
            </w: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500吨/日生活垃圾</w:t>
            </w:r>
            <w:r>
              <w:rPr>
                <w:rFonts w:hint="default" w:ascii="Times New Roman" w:hAnsi="Times New Roman" w:eastAsia="方正仿宋_GBK" w:cs="Times New Roman"/>
                <w:color w:val="auto"/>
                <w:kern w:val="0"/>
                <w:sz w:val="21"/>
                <w:szCs w:val="21"/>
                <w:lang w:eastAsia="zh-CN"/>
              </w:rPr>
              <w:t>综合利用处置设施</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0"/>
                <w:sz w:val="21"/>
                <w:szCs w:val="21"/>
              </w:rPr>
            </w:pPr>
            <w:r>
              <w:rPr>
                <w:rFonts w:hint="eastAsia"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启动日处理能力500吨</w:t>
            </w:r>
            <w:r>
              <w:rPr>
                <w:rFonts w:hint="eastAsia" w:ascii="Times New Roman" w:hAnsi="Times New Roman" w:eastAsia="方正仿宋_GBK" w:cs="Times New Roman"/>
                <w:color w:val="auto"/>
                <w:kern w:val="0"/>
                <w:sz w:val="21"/>
                <w:szCs w:val="21"/>
                <w:lang w:val="en-US" w:eastAsia="zh-CN"/>
              </w:rPr>
              <w:t>生活</w:t>
            </w:r>
            <w:r>
              <w:rPr>
                <w:rFonts w:hint="default" w:ascii="Times New Roman" w:hAnsi="Times New Roman" w:eastAsia="方正仿宋_GBK" w:cs="Times New Roman"/>
                <w:color w:val="auto"/>
                <w:kern w:val="0"/>
                <w:sz w:val="21"/>
                <w:szCs w:val="21"/>
              </w:rPr>
              <w:t>垃圾</w:t>
            </w:r>
            <w:r>
              <w:rPr>
                <w:rFonts w:hint="default" w:ascii="Times New Roman" w:hAnsi="Times New Roman" w:eastAsia="方正仿宋_GBK" w:cs="Times New Roman"/>
                <w:color w:val="auto"/>
                <w:kern w:val="0"/>
                <w:sz w:val="21"/>
                <w:szCs w:val="21"/>
                <w:lang w:eastAsia="zh-CN"/>
              </w:rPr>
              <w:t>综合利用处置设施</w:t>
            </w:r>
            <w:r>
              <w:rPr>
                <w:rFonts w:hint="default" w:ascii="Times New Roman" w:hAnsi="Times New Roman" w:eastAsia="方正仿宋_GBK" w:cs="Times New Roman"/>
                <w:color w:val="auto"/>
                <w:kern w:val="0"/>
                <w:sz w:val="21"/>
                <w:szCs w:val="21"/>
              </w:rPr>
              <w:t>建设。</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sz w:val="21"/>
                <w:szCs w:val="21"/>
                <w:lang w:val="en-US" w:eastAsia="zh-CN"/>
              </w:rPr>
            </w:pPr>
            <w:r>
              <w:rPr>
                <w:rFonts w:hint="default" w:ascii="Times New Roman" w:hAnsi="Times New Roman" w:eastAsia="方正仿宋_GBK" w:cs="Times New Roman"/>
                <w:color w:val="auto"/>
                <w:kern w:val="0"/>
                <w:sz w:val="21"/>
                <w:szCs w:val="21"/>
              </w:rPr>
              <w:t>2.中安街道（1座）、胜境街道（</w:t>
            </w:r>
            <w:r>
              <w:rPr>
                <w:rFonts w:hint="default"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K" w:cs="Times New Roman"/>
                <w:color w:val="auto"/>
                <w:kern w:val="0"/>
                <w:sz w:val="21"/>
                <w:szCs w:val="21"/>
              </w:rPr>
              <w:t>座）、墨红镇（2座）、营上镇（1座）新建</w:t>
            </w:r>
            <w:r>
              <w:rPr>
                <w:rFonts w:hint="eastAsia" w:ascii="Times New Roman" w:hAnsi="Times New Roman" w:eastAsia="方正仿宋_GBK" w:cs="Times New Roman"/>
                <w:color w:val="auto"/>
                <w:kern w:val="0"/>
                <w:sz w:val="21"/>
                <w:szCs w:val="21"/>
                <w:lang w:val="en-US" w:eastAsia="zh-CN"/>
              </w:rPr>
              <w:t>5</w:t>
            </w:r>
            <w:r>
              <w:rPr>
                <w:rFonts w:hint="default" w:ascii="Times New Roman" w:hAnsi="Times New Roman" w:eastAsia="方正仿宋_GBK" w:cs="Times New Roman"/>
                <w:color w:val="auto"/>
                <w:kern w:val="0"/>
                <w:sz w:val="21"/>
                <w:szCs w:val="21"/>
              </w:rPr>
              <w:t>座垃圾中转站</w:t>
            </w:r>
            <w:r>
              <w:rPr>
                <w:rFonts w:hint="eastAsia" w:ascii="Times New Roman" w:hAnsi="Times New Roman" w:eastAsia="方正仿宋_GBK" w:cs="Times New Roman"/>
                <w:color w:val="auto"/>
                <w:kern w:val="0"/>
                <w:sz w:val="21"/>
                <w:szCs w:val="21"/>
                <w:lang w:eastAsia="zh-CN"/>
              </w:rPr>
              <w:t>。</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富源县人民政府</w:t>
            </w:r>
          </w:p>
        </w:tc>
        <w:tc>
          <w:tcPr>
            <w:tcW w:w="2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、市财政局、市自然资源和规划局、市生态环境局、市水务局、市林草局</w:t>
            </w:r>
          </w:p>
        </w:tc>
      </w:tr>
      <w:tr>
        <w:tblPrEx>
          <w:tblCellMar>
            <w:top w:w="0" w:type="dxa"/>
            <w:left w:w="0" w:type="dxa"/>
            <w:bottom w:w="0" w:type="dxa"/>
            <w:right w:w="0" w:type="dxa"/>
          </w:tblCellMar>
        </w:tblPrEx>
        <w:trPr>
          <w:trHeight w:val="2672"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1.500吨的</w:t>
            </w:r>
            <w:r>
              <w:rPr>
                <w:rFonts w:hint="eastAsia" w:ascii="Times New Roman" w:hAnsi="Times New Roman" w:eastAsia="方正仿宋_GBK" w:cs="Times New Roman"/>
                <w:color w:val="auto"/>
                <w:kern w:val="0"/>
                <w:sz w:val="21"/>
                <w:szCs w:val="21"/>
                <w:lang w:val="en-US" w:eastAsia="zh-CN"/>
              </w:rPr>
              <w:t>生活</w:t>
            </w:r>
            <w:r>
              <w:rPr>
                <w:rFonts w:hint="default" w:ascii="Times New Roman" w:hAnsi="Times New Roman" w:eastAsia="方正仿宋_GBK" w:cs="Times New Roman"/>
                <w:color w:val="auto"/>
                <w:kern w:val="0"/>
                <w:sz w:val="21"/>
                <w:szCs w:val="21"/>
              </w:rPr>
              <w:t>垃圾</w:t>
            </w:r>
            <w:r>
              <w:rPr>
                <w:rFonts w:hint="default" w:ascii="Times New Roman" w:hAnsi="Times New Roman" w:eastAsia="方正仿宋_GBK" w:cs="Times New Roman"/>
                <w:color w:val="auto"/>
                <w:kern w:val="0"/>
                <w:sz w:val="21"/>
                <w:szCs w:val="21"/>
                <w:lang w:eastAsia="zh-CN"/>
              </w:rPr>
              <w:t>综合利用处置设施</w:t>
            </w:r>
            <w:r>
              <w:rPr>
                <w:rFonts w:hint="default" w:ascii="Times New Roman" w:hAnsi="Times New Roman" w:eastAsia="方正仿宋_GBK" w:cs="Times New Roman"/>
                <w:color w:val="auto"/>
                <w:kern w:val="0"/>
                <w:sz w:val="21"/>
                <w:szCs w:val="21"/>
              </w:rPr>
              <w:t>建成投入</w:t>
            </w:r>
            <w:r>
              <w:rPr>
                <w:rFonts w:hint="eastAsia" w:ascii="Times New Roman" w:hAnsi="Times New Roman" w:eastAsia="方正仿宋_GBK" w:cs="Times New Roman"/>
                <w:color w:val="auto"/>
                <w:kern w:val="0"/>
                <w:sz w:val="21"/>
                <w:szCs w:val="21"/>
                <w:lang w:eastAsia="zh-CN"/>
              </w:rPr>
              <w:t>试</w:t>
            </w:r>
            <w:r>
              <w:rPr>
                <w:rFonts w:hint="default" w:ascii="Times New Roman" w:hAnsi="Times New Roman" w:eastAsia="方正仿宋_GBK" w:cs="Times New Roman"/>
                <w:color w:val="auto"/>
                <w:kern w:val="0"/>
                <w:sz w:val="21"/>
                <w:szCs w:val="21"/>
              </w:rPr>
              <w:t>运营，将</w:t>
            </w:r>
            <w:r>
              <w:rPr>
                <w:rFonts w:hint="eastAsia" w:ascii="Times New Roman" w:hAnsi="Times New Roman" w:eastAsia="方正仿宋_GBK" w:cs="Times New Roman"/>
                <w:color w:val="auto"/>
                <w:kern w:val="0"/>
                <w:sz w:val="21"/>
                <w:szCs w:val="21"/>
                <w:lang w:eastAsia="zh-CN"/>
              </w:rPr>
              <w:t>中安街道、胜境街道、墨红镇、营上镇、富村镇、黄泥河镇、十八连山镇、老厂镇、古敢乡</w:t>
            </w:r>
            <w:r>
              <w:rPr>
                <w:rFonts w:hint="default" w:ascii="Times New Roman" w:hAnsi="Times New Roman" w:eastAsia="方正仿宋_GBK" w:cs="Times New Roman"/>
                <w:color w:val="auto"/>
                <w:kern w:val="0"/>
                <w:sz w:val="21"/>
                <w:szCs w:val="21"/>
              </w:rPr>
              <w:t>生活垃圾转运到</w:t>
            </w:r>
            <w:r>
              <w:rPr>
                <w:rFonts w:hint="default" w:ascii="Times New Roman" w:hAnsi="Times New Roman" w:eastAsia="方正仿宋_GBK" w:cs="Times New Roman"/>
                <w:color w:val="auto"/>
                <w:kern w:val="0"/>
                <w:sz w:val="21"/>
                <w:szCs w:val="21"/>
                <w:lang w:eastAsia="zh-CN"/>
              </w:rPr>
              <w:t>县城</w:t>
            </w:r>
            <w:r>
              <w:rPr>
                <w:rFonts w:hint="default" w:ascii="Times New Roman" w:hAnsi="Times New Roman" w:eastAsia="方正仿宋_GBK" w:cs="Times New Roman"/>
                <w:color w:val="auto"/>
                <w:kern w:val="0"/>
                <w:sz w:val="21"/>
                <w:szCs w:val="21"/>
              </w:rPr>
              <w:t>处理</w:t>
            </w:r>
            <w:r>
              <w:rPr>
                <w:rFonts w:hint="eastAsia" w:ascii="Times New Roman" w:hAnsi="Times New Roman" w:eastAsia="方正仿宋_GBK" w:cs="Times New Roman"/>
                <w:color w:val="auto"/>
                <w:kern w:val="0"/>
                <w:sz w:val="21"/>
                <w:szCs w:val="21"/>
                <w:lang w:eastAsia="zh-CN"/>
              </w:rPr>
              <w:t>，后所镇、大河镇、竹园镇生活垃圾利用现有热解站规范处置</w:t>
            </w:r>
            <w:r>
              <w:rPr>
                <w:rFonts w:hint="default" w:ascii="Times New Roman" w:hAnsi="Times New Roman" w:eastAsia="方正仿宋_GBK" w:cs="Times New Roman"/>
                <w:color w:val="auto"/>
                <w:kern w:val="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2.富村镇（</w:t>
            </w:r>
            <w:r>
              <w:rPr>
                <w:rFonts w:hint="default" w:ascii="Times New Roman" w:hAnsi="Times New Roman" w:eastAsia="方正仿宋_GBK" w:cs="Times New Roman"/>
                <w:color w:val="auto"/>
                <w:kern w:val="0"/>
                <w:sz w:val="21"/>
                <w:szCs w:val="21"/>
                <w:lang w:val="en-US" w:eastAsia="zh-CN"/>
              </w:rPr>
              <w:t>3</w:t>
            </w:r>
            <w:r>
              <w:rPr>
                <w:rFonts w:hint="default" w:ascii="Times New Roman" w:hAnsi="Times New Roman" w:eastAsia="方正仿宋_GBK" w:cs="Times New Roman"/>
                <w:color w:val="auto"/>
                <w:kern w:val="0"/>
                <w:sz w:val="21"/>
                <w:szCs w:val="21"/>
              </w:rPr>
              <w:t>）、黄泥河镇（2座）、古敢乡（1座）、十八连山（1座）、老厂镇（1座）新建</w:t>
            </w:r>
            <w:r>
              <w:rPr>
                <w:rFonts w:hint="eastAsia" w:ascii="Times New Roman" w:hAnsi="Times New Roman" w:eastAsia="方正仿宋_GBK" w:cs="Times New Roman"/>
                <w:color w:val="auto"/>
                <w:kern w:val="0"/>
                <w:sz w:val="21"/>
                <w:szCs w:val="21"/>
                <w:lang w:val="en-US" w:eastAsia="zh-CN"/>
              </w:rPr>
              <w:t>8</w:t>
            </w:r>
            <w:r>
              <w:rPr>
                <w:rFonts w:hint="default" w:ascii="Times New Roman" w:hAnsi="Times New Roman" w:eastAsia="方正仿宋_GBK" w:cs="Times New Roman"/>
                <w:color w:val="auto"/>
                <w:kern w:val="0"/>
                <w:sz w:val="21"/>
                <w:szCs w:val="21"/>
              </w:rPr>
              <w:t>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10</w:t>
            </w:r>
          </w:p>
        </w:tc>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会泽县</w:t>
            </w: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城乡垃圾处理一体化</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2022年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eastAsia"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rPr>
              <w:t>1.将者海镇、乐业镇、矿山镇、待补镇、五星乡、上村乡、老厂乡、纸厂乡、大海乡、鲁纳乡生活垃圾转运到</w:t>
            </w:r>
            <w:r>
              <w:rPr>
                <w:rFonts w:hint="default" w:ascii="Times New Roman" w:hAnsi="Times New Roman" w:eastAsia="方正仿宋_GBK" w:cs="Times New Roman"/>
                <w:color w:val="auto"/>
                <w:kern w:val="0"/>
                <w:sz w:val="21"/>
                <w:szCs w:val="21"/>
                <w:lang w:eastAsia="zh-CN"/>
              </w:rPr>
              <w:t>县城</w:t>
            </w:r>
            <w:r>
              <w:rPr>
                <w:rFonts w:hint="default" w:ascii="Times New Roman" w:hAnsi="Times New Roman" w:eastAsia="方正仿宋_GBK" w:cs="Times New Roman"/>
                <w:color w:val="auto"/>
                <w:kern w:val="0"/>
                <w:sz w:val="21"/>
                <w:szCs w:val="21"/>
              </w:rPr>
              <w:t>集中处理。田坝乡、大桥乡、新街乡、</w:t>
            </w:r>
            <w:r>
              <w:rPr>
                <w:rFonts w:hint="eastAsia" w:ascii="Times New Roman" w:hAnsi="Times New Roman" w:eastAsia="方正仿宋_GBK" w:cs="Times New Roman"/>
                <w:color w:val="auto"/>
                <w:kern w:val="0"/>
                <w:sz w:val="21"/>
                <w:szCs w:val="21"/>
                <w:lang w:eastAsia="zh-CN"/>
              </w:rPr>
              <w:t>大井镇、</w:t>
            </w:r>
            <w:r>
              <w:rPr>
                <w:rFonts w:hint="default" w:ascii="Times New Roman" w:hAnsi="Times New Roman" w:eastAsia="方正仿宋_GBK" w:cs="Times New Roman"/>
                <w:color w:val="auto"/>
                <w:kern w:val="0"/>
                <w:sz w:val="21"/>
                <w:szCs w:val="21"/>
              </w:rPr>
              <w:t>娜姑镇、</w:t>
            </w:r>
            <w:r>
              <w:rPr>
                <w:rFonts w:hint="eastAsia" w:ascii="Times New Roman" w:hAnsi="Times New Roman" w:eastAsia="方正仿宋_GBK" w:cs="Times New Roman"/>
                <w:color w:val="auto"/>
                <w:kern w:val="0"/>
                <w:sz w:val="21"/>
                <w:szCs w:val="21"/>
                <w:lang w:eastAsia="zh-CN"/>
              </w:rPr>
              <w:t>火红乡、</w:t>
            </w:r>
            <w:r>
              <w:rPr>
                <w:rFonts w:hint="default" w:ascii="Times New Roman" w:hAnsi="Times New Roman" w:eastAsia="方正仿宋_GBK" w:cs="Times New Roman"/>
                <w:color w:val="auto"/>
                <w:kern w:val="0"/>
                <w:sz w:val="21"/>
                <w:szCs w:val="21"/>
              </w:rPr>
              <w:t>雨碌乡、迤车镇、驾车乡</w:t>
            </w:r>
            <w:r>
              <w:rPr>
                <w:rFonts w:hint="eastAsia" w:ascii="Times New Roman" w:hAnsi="Times New Roman" w:eastAsia="方正仿宋_GBK" w:cs="Times New Roman"/>
                <w:color w:val="auto"/>
                <w:kern w:val="0"/>
                <w:sz w:val="21"/>
                <w:szCs w:val="21"/>
                <w:lang w:eastAsia="zh-CN"/>
              </w:rPr>
              <w:t>、马路乡生活垃圾利用现有热解站规范处置</w:t>
            </w:r>
            <w:r>
              <w:rPr>
                <w:rFonts w:hint="default" w:ascii="Times New Roman" w:hAnsi="Times New Roman" w:eastAsia="方正仿宋_GBK" w:cs="Times New Roman"/>
                <w:color w:val="auto"/>
                <w:kern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2.待补镇、者海镇新建</w:t>
            </w:r>
            <w:r>
              <w:rPr>
                <w:rFonts w:hint="eastAsia" w:ascii="Times New Roman" w:hAnsi="Times New Roman" w:eastAsia="方正仿宋_GBK" w:cs="Times New Roman"/>
                <w:color w:val="auto"/>
                <w:kern w:val="0"/>
                <w:sz w:val="21"/>
                <w:szCs w:val="21"/>
                <w:lang w:val="en-US" w:eastAsia="zh-CN"/>
              </w:rPr>
              <w:t>2</w:t>
            </w:r>
            <w:r>
              <w:rPr>
                <w:rFonts w:hint="default" w:ascii="Times New Roman" w:hAnsi="Times New Roman" w:eastAsia="方正仿宋_GBK" w:cs="Times New Roman"/>
                <w:color w:val="auto"/>
                <w:kern w:val="0"/>
                <w:sz w:val="21"/>
                <w:szCs w:val="21"/>
              </w:rPr>
              <w:t>座垃圾中转站。</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会泽县人民政府</w:t>
            </w:r>
          </w:p>
        </w:tc>
        <w:tc>
          <w:tcPr>
            <w:tcW w:w="2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c>
          <w:tcPr>
            <w:tcW w:w="23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方正仿宋_GBK" w:cs="Times New Roman"/>
                <w:color w:val="auto"/>
                <w:kern w:val="0"/>
                <w:sz w:val="21"/>
                <w:szCs w:val="21"/>
                <w:lang w:eastAsia="zh-CN"/>
              </w:rPr>
              <w:t>市发展改革委</w:t>
            </w:r>
            <w:r>
              <w:rPr>
                <w:rFonts w:hint="default" w:ascii="Times New Roman" w:hAnsi="Times New Roman" w:eastAsia="方正仿宋_GBK" w:cs="Times New Roman"/>
                <w:color w:val="auto"/>
                <w:kern w:val="0"/>
                <w:sz w:val="21"/>
                <w:szCs w:val="21"/>
              </w:rPr>
              <w:t>、市财政局、市自然资源和规划局、市生态环境局</w:t>
            </w:r>
          </w:p>
        </w:tc>
      </w:tr>
      <w:tr>
        <w:tblPrEx>
          <w:tblCellMar>
            <w:top w:w="0" w:type="dxa"/>
            <w:left w:w="0" w:type="dxa"/>
            <w:bottom w:w="0" w:type="dxa"/>
            <w:right w:w="0" w:type="dxa"/>
          </w:tblCellMar>
        </w:tblPrEx>
        <w:trPr>
          <w:trHeight w:val="465"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五星乡、大海乡、乐业镇新建</w:t>
            </w:r>
            <w:r>
              <w:rPr>
                <w:rFonts w:hint="eastAsia" w:ascii="Times New Roman" w:hAnsi="Times New Roman" w:eastAsia="方正仿宋_GBK" w:cs="Times New Roman"/>
                <w:color w:val="auto"/>
                <w:kern w:val="0"/>
                <w:sz w:val="21"/>
                <w:szCs w:val="21"/>
                <w:lang w:val="en-US" w:eastAsia="zh-CN"/>
              </w:rPr>
              <w:t>3</w:t>
            </w:r>
            <w:r>
              <w:rPr>
                <w:rFonts w:hint="default" w:ascii="Times New Roman" w:hAnsi="Times New Roman" w:eastAsia="方正仿宋_GBK" w:cs="Times New Roman"/>
                <w:color w:val="auto"/>
                <w:kern w:val="0"/>
                <w:sz w:val="21"/>
                <w:szCs w:val="21"/>
              </w:rPr>
              <w:t>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2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auto"/>
                <w:sz w:val="21"/>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2024年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老厂乡、纸厂乡、矿山镇、上村乡、鲁纳乡新建</w:t>
            </w:r>
            <w:r>
              <w:rPr>
                <w:rFonts w:hint="eastAsia" w:ascii="Times New Roman" w:hAnsi="Times New Roman" w:eastAsia="方正仿宋_GBK" w:cs="Times New Roman"/>
                <w:color w:val="auto"/>
                <w:kern w:val="0"/>
                <w:sz w:val="21"/>
                <w:szCs w:val="21"/>
                <w:lang w:val="en-US" w:eastAsia="zh-CN"/>
              </w:rPr>
              <w:t>5</w:t>
            </w:r>
            <w:r>
              <w:rPr>
                <w:rFonts w:hint="default" w:ascii="Times New Roman" w:hAnsi="Times New Roman" w:eastAsia="方正仿宋_GBK" w:cs="Times New Roman"/>
                <w:color w:val="auto"/>
                <w:kern w:val="0"/>
                <w:sz w:val="21"/>
                <w:szCs w:val="21"/>
              </w:rPr>
              <w:t>座垃圾中转站。</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c>
          <w:tcPr>
            <w:tcW w:w="23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auto"/>
                <w:sz w:val="21"/>
                <w:szCs w:val="21"/>
              </w:rPr>
            </w:pPr>
          </w:p>
        </w:tc>
      </w:tr>
      <w:tr>
        <w:tblPrEx>
          <w:tblCellMar>
            <w:top w:w="0" w:type="dxa"/>
            <w:left w:w="0" w:type="dxa"/>
            <w:bottom w:w="0" w:type="dxa"/>
            <w:right w:w="0" w:type="dxa"/>
          </w:tblCellMar>
        </w:tblPrEx>
        <w:trPr>
          <w:trHeight w:val="1280" w:hRule="atLeast"/>
          <w:jc w:val="center"/>
        </w:trPr>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lang w:val="en-US" w:eastAsia="zh-CN"/>
              </w:rPr>
            </w:pPr>
            <w:r>
              <w:rPr>
                <w:rFonts w:hint="default" w:ascii="Times New Roman" w:hAnsi="Times New Roman" w:eastAsia="方正仿宋_GBK" w:cs="Times New Roman"/>
                <w:color w:val="auto"/>
                <w:kern w:val="0"/>
                <w:sz w:val="21"/>
                <w:szCs w:val="21"/>
              </w:rPr>
              <w:t>1</w:t>
            </w:r>
            <w:r>
              <w:rPr>
                <w:rFonts w:hint="default" w:ascii="Times New Roman" w:hAnsi="Times New Roman" w:eastAsia="方正仿宋_GBK" w:cs="Times New Roman"/>
                <w:color w:val="auto"/>
                <w:kern w:val="0"/>
                <w:sz w:val="21"/>
                <w:szCs w:val="21"/>
                <w:lang w:val="en-US" w:eastAsia="zh-CN"/>
              </w:rPr>
              <w:t>1</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各县（市、区）</w:t>
            </w:r>
            <w:r>
              <w:rPr>
                <w:rFonts w:hint="eastAsia" w:ascii="Times New Roman" w:hAnsi="Times New Roman" w:eastAsia="方正仿宋_GBK" w:cs="Times New Roman"/>
                <w:color w:val="auto"/>
                <w:kern w:val="0"/>
                <w:sz w:val="21"/>
                <w:szCs w:val="21"/>
                <w:lang w:eastAsia="zh-CN"/>
              </w:rPr>
              <w:t>、</w:t>
            </w:r>
            <w:r>
              <w:rPr>
                <w:rFonts w:hint="default" w:ascii="Times New Roman" w:hAnsi="Times New Roman" w:eastAsia="方正仿宋_GBK" w:cs="Times New Roman"/>
                <w:color w:val="auto"/>
                <w:kern w:val="0"/>
                <w:sz w:val="21"/>
                <w:szCs w:val="21"/>
              </w:rPr>
              <w:t>曲靖经开区</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建立</w:t>
            </w:r>
            <w:r>
              <w:rPr>
                <w:rFonts w:hint="eastAsia" w:ascii="Times New Roman" w:hAnsi="Times New Roman" w:eastAsia="方正仿宋_GBK" w:cs="Times New Roman"/>
                <w:color w:val="auto"/>
                <w:kern w:val="0"/>
                <w:sz w:val="21"/>
                <w:szCs w:val="21"/>
                <w:lang w:eastAsia="zh-CN"/>
              </w:rPr>
              <w:t>农村</w:t>
            </w:r>
            <w:r>
              <w:rPr>
                <w:rFonts w:hint="default" w:ascii="Times New Roman" w:hAnsi="Times New Roman" w:eastAsia="方正仿宋_GBK" w:cs="Times New Roman"/>
                <w:color w:val="auto"/>
                <w:kern w:val="0"/>
                <w:sz w:val="21"/>
                <w:szCs w:val="21"/>
              </w:rPr>
              <w:t>生活垃圾收运</w:t>
            </w:r>
            <w:r>
              <w:rPr>
                <w:rFonts w:hint="eastAsia" w:ascii="Times New Roman" w:hAnsi="Times New Roman" w:eastAsia="方正仿宋_GBK" w:cs="Times New Roman"/>
                <w:color w:val="auto"/>
                <w:kern w:val="0"/>
                <w:sz w:val="21"/>
                <w:szCs w:val="21"/>
                <w:lang w:eastAsia="zh-CN"/>
              </w:rPr>
              <w:t>机制和长效运转</w:t>
            </w:r>
            <w:r>
              <w:rPr>
                <w:rFonts w:hint="default" w:ascii="Times New Roman" w:hAnsi="Times New Roman" w:eastAsia="方正仿宋_GBK" w:cs="Times New Roman"/>
                <w:color w:val="auto"/>
                <w:kern w:val="0"/>
                <w:sz w:val="21"/>
                <w:szCs w:val="21"/>
              </w:rPr>
              <w:t>机制</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2023年</w:t>
            </w:r>
          </w:p>
        </w:tc>
        <w:tc>
          <w:tcPr>
            <w:tcW w:w="4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各县（市、区）、曲靖经开区建立健全</w:t>
            </w:r>
            <w:r>
              <w:rPr>
                <w:rFonts w:hint="eastAsia" w:ascii="Times New Roman" w:hAnsi="Times New Roman" w:eastAsia="方正仿宋_GBK" w:cs="Times New Roman"/>
                <w:color w:val="auto"/>
                <w:kern w:val="0"/>
                <w:sz w:val="21"/>
                <w:szCs w:val="21"/>
                <w:lang w:eastAsia="zh-CN"/>
              </w:rPr>
              <w:t>农村</w:t>
            </w:r>
            <w:r>
              <w:rPr>
                <w:rFonts w:hint="default" w:ascii="Times New Roman" w:hAnsi="Times New Roman" w:eastAsia="方正仿宋_GBK" w:cs="Times New Roman"/>
                <w:color w:val="auto"/>
                <w:kern w:val="0"/>
                <w:sz w:val="21"/>
                <w:szCs w:val="21"/>
              </w:rPr>
              <w:t>生活垃圾收运</w:t>
            </w:r>
            <w:r>
              <w:rPr>
                <w:rFonts w:hint="eastAsia" w:ascii="Times New Roman" w:hAnsi="Times New Roman" w:eastAsia="方正仿宋_GBK" w:cs="Times New Roman"/>
                <w:color w:val="auto"/>
                <w:kern w:val="0"/>
                <w:sz w:val="21"/>
                <w:szCs w:val="21"/>
                <w:lang w:eastAsia="zh-CN"/>
              </w:rPr>
              <w:t>机制和长效运转</w:t>
            </w:r>
            <w:r>
              <w:rPr>
                <w:rFonts w:hint="default" w:ascii="Times New Roman" w:hAnsi="Times New Roman" w:eastAsia="方正仿宋_GBK" w:cs="Times New Roman"/>
                <w:color w:val="auto"/>
                <w:kern w:val="0"/>
                <w:sz w:val="21"/>
                <w:szCs w:val="21"/>
              </w:rPr>
              <w:t>机制。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各县（市、区）人民政府、曲靖经开区管委会</w:t>
            </w:r>
          </w:p>
        </w:tc>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市发展改革委</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市财政局</w:t>
            </w:r>
          </w:p>
        </w:tc>
        <w:tc>
          <w:tcPr>
            <w:tcW w:w="2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市城市综合管理局</w:t>
            </w:r>
          </w:p>
          <w:p>
            <w:pPr>
              <w:keepNext w:val="0"/>
              <w:keepLines w:val="0"/>
              <w:pageBreakBefore w:val="0"/>
              <w:widowControl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color w:val="auto"/>
                <w:kern w:val="0"/>
                <w:sz w:val="21"/>
                <w:szCs w:val="21"/>
                <w:lang w:eastAsia="zh-CN"/>
              </w:rPr>
            </w:pPr>
            <w:r>
              <w:rPr>
                <w:rFonts w:hint="eastAsia" w:ascii="Times New Roman" w:hAnsi="Times New Roman" w:eastAsia="方正仿宋_GBK" w:cs="Times New Roman"/>
                <w:color w:val="auto"/>
                <w:kern w:val="0"/>
                <w:sz w:val="21"/>
                <w:szCs w:val="21"/>
                <w:lang w:eastAsia="zh-CN"/>
              </w:rPr>
              <w:t>市住房城乡建设局</w:t>
            </w:r>
          </w:p>
        </w:tc>
      </w:tr>
    </w:tbl>
    <w:p>
      <w:pPr>
        <w:keepNext w:val="0"/>
        <w:keepLines w:val="0"/>
        <w:pageBreakBefore w:val="0"/>
        <w:widowControl w:val="0"/>
        <w:kinsoku/>
        <w:wordWrap/>
        <w:overflowPunct/>
        <w:topLinePunct w:val="0"/>
        <w:autoSpaceDE/>
        <w:autoSpaceDN/>
        <w:bidi w:val="0"/>
        <w:adjustRightInd/>
        <w:snapToGrid/>
        <w:spacing w:line="260" w:lineRule="exact"/>
        <w:jc w:val="both"/>
        <w:rPr>
          <w:rFonts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60" w:lineRule="exact"/>
        <w:rPr>
          <w:rFonts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60" w:lineRule="exact"/>
        <w:rPr>
          <w:rFonts w:hint="eastAsia"/>
          <w:sz w:val="21"/>
          <w:szCs w:val="21"/>
        </w:rPr>
        <w:sectPr>
          <w:footerReference r:id="rId3" w:type="default"/>
          <w:pgSz w:w="16838" w:h="11906" w:orient="landscape"/>
          <w:pgMar w:top="1474" w:right="2098" w:bottom="1474" w:left="1474" w:header="851" w:footer="1587" w:gutter="0"/>
          <w:pgNumType w:fmt="decimal"/>
          <w:cols w:space="720" w:num="1"/>
          <w:rtlGutter w:val="0"/>
          <w:docGrid w:type="lines" w:linePitch="319" w:charSpace="0"/>
        </w:sectPr>
      </w:pPr>
    </w:p>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posOffset>7694930</wp:posOffset>
              </wp:positionH>
              <wp:positionV relativeFrom="paragraph">
                <wp:posOffset>-15875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605.9pt;margin-top:-1.25pt;height:144pt;width:144pt;mso-position-horizontal-relative:margin;mso-wrap-style:none;z-index:251659264;mso-width-relative:page;mso-height-relative:page;" filled="f" stroked="f" coordsize="21600,21600" o:gfxdata="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R2uPY&#10;AAAADAEAAA8AAAAAAAAAAQAgAAAAIgAAAGRycy9kb3ducmV2LnhtbFBLAQIUABQAAAAIAIdO4kDx&#10;Z+TlrgEAAEsDAAAOAAAAAAAAAAEAIAAAACcBAABkcnMvZTJvRG9jLnhtbFBLBQYAAAAABgAGAFkB&#10;AABHBQAAAAA=&#10;">
              <v:path/>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71C68"/>
    <w:rsid w:val="732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line="560" w:lineRule="exact"/>
      <w:ind w:firstLine="640"/>
      <w:outlineLvl w:val="1"/>
    </w:pPr>
    <w:rPr>
      <w:rFonts w:eastAsia="黑体"/>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hd w:val="clear" w:color="auto" w:fill="FFFFFF"/>
      <w:spacing w:before="480" w:after="240" w:line="240" w:lineRule="atLeast"/>
    </w:pPr>
    <w:rPr>
      <w:rFonts w:ascii="MingLiU" w:eastAsia="MingLiU" w:cs="MingLiU"/>
      <w:color w:val="auto"/>
      <w:spacing w:val="20"/>
      <w:sz w:val="27"/>
      <w:szCs w:val="27"/>
      <w:lang w:val="en-US" w:eastAsia="zh-CN"/>
    </w:rPr>
  </w:style>
  <w:style w:type="paragraph" w:styleId="3">
    <w:name w:val="toc 5"/>
    <w:basedOn w:val="1"/>
    <w:next w:val="1"/>
    <w:qFormat/>
    <w:uiPriority w:val="0"/>
    <w:pPr>
      <w:ind w:left="1680"/>
    </w:p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2022-11-22T03:11:00Z</dcterms:created>
  <dc:creator>Administrator</dc:creator>
  <cp:lastModifiedBy>Administrator</cp:lastModifiedBy>
  <dcterms:modified xsi:type="dcterms:W3CDTF">2022-11-22T03:11:38Z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