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附件1</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本次检验项目</w:t>
      </w:r>
    </w:p>
    <w:tbl>
      <w:tblPr>
        <w:tblW w:w="146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5"/>
        <w:gridCol w:w="885"/>
        <w:gridCol w:w="1061"/>
        <w:gridCol w:w="1485"/>
        <w:gridCol w:w="2233"/>
        <w:gridCol w:w="2"/>
        <w:gridCol w:w="1497"/>
        <w:gridCol w:w="3"/>
        <w:gridCol w:w="6979"/>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1" w:type="dxa"/>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食品大类（一级）</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食品亚类（二级）</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食品品种（三级）</w:t>
            </w:r>
          </w:p>
        </w:tc>
        <w:tc>
          <w:tcPr>
            <w:tcW w:w="22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食品细类（四级）</w:t>
            </w:r>
          </w:p>
        </w:tc>
        <w:tc>
          <w:tcPr>
            <w:tcW w:w="14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抽检依据</w:t>
            </w:r>
          </w:p>
        </w:tc>
        <w:tc>
          <w:tcPr>
            <w:tcW w:w="69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检验项目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食用油、油脂及其制品</w:t>
            </w:r>
          </w:p>
        </w:tc>
        <w:tc>
          <w:tcPr>
            <w:tcW w:w="106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食用植物油（含煎炸用油）</w:t>
            </w:r>
          </w:p>
        </w:tc>
        <w:tc>
          <w:tcPr>
            <w:tcW w:w="14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食用植物油（半精炼、全精炼）</w:t>
            </w: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花生油</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GB2760 </w:t>
            </w:r>
            <w:r>
              <w:rPr>
                <w:rFonts w:hint="eastAsia" w:ascii="宋体" w:hAnsi="宋体" w:eastAsia="宋体" w:cs="宋体"/>
                <w:i w:val="0"/>
                <w:iCs w:val="0"/>
                <w:color w:val="000000"/>
                <w:kern w:val="0"/>
                <w:sz w:val="20"/>
                <w:szCs w:val="20"/>
                <w:u w:val="none"/>
                <w:bdr w:val="none" w:color="auto" w:sz="0" w:space="0"/>
                <w:lang w:val="en-US" w:eastAsia="zh-CN" w:bidi="ar"/>
              </w:rPr>
              <w:t>食品安全国家标准</w:t>
            </w: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食品添加剂使用标准、</w:t>
            </w:r>
            <w:r>
              <w:rPr>
                <w:rFonts w:hint="default" w:ascii="Arial" w:hAnsi="Arial" w:eastAsia="宋体" w:cs="Arial"/>
                <w:i w:val="0"/>
                <w:iCs w:val="0"/>
                <w:color w:val="000000"/>
                <w:kern w:val="0"/>
                <w:sz w:val="20"/>
                <w:szCs w:val="20"/>
                <w:u w:val="none"/>
                <w:bdr w:val="none" w:color="auto" w:sz="0" w:space="0"/>
                <w:lang w:val="en-US" w:eastAsia="zh-CN" w:bidi="ar"/>
              </w:rPr>
              <w:t xml:space="preserve">GB2761 </w:t>
            </w:r>
            <w:r>
              <w:rPr>
                <w:rFonts w:hint="eastAsia" w:ascii="宋体" w:hAnsi="宋体" w:eastAsia="宋体" w:cs="宋体"/>
                <w:i w:val="0"/>
                <w:iCs w:val="0"/>
                <w:color w:val="000000"/>
                <w:kern w:val="0"/>
                <w:sz w:val="20"/>
                <w:szCs w:val="20"/>
                <w:u w:val="none"/>
                <w:bdr w:val="none" w:color="auto" w:sz="0" w:space="0"/>
                <w:lang w:val="en-US" w:eastAsia="zh-CN" w:bidi="ar"/>
              </w:rPr>
              <w:t>食品安全国家标准</w:t>
            </w: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食品中真菌毒素限量、</w:t>
            </w:r>
            <w:r>
              <w:rPr>
                <w:rFonts w:hint="default" w:ascii="Arial" w:hAnsi="Arial" w:eastAsia="宋体" w:cs="Arial"/>
                <w:i w:val="0"/>
                <w:iCs w:val="0"/>
                <w:color w:val="000000"/>
                <w:kern w:val="0"/>
                <w:sz w:val="20"/>
                <w:szCs w:val="20"/>
                <w:u w:val="none"/>
                <w:bdr w:val="none" w:color="auto" w:sz="0" w:space="0"/>
                <w:lang w:val="en-US" w:eastAsia="zh-CN" w:bidi="ar"/>
              </w:rPr>
              <w:t xml:space="preserve">GB2762 </w:t>
            </w:r>
            <w:r>
              <w:rPr>
                <w:rFonts w:hint="eastAsia" w:ascii="宋体" w:hAnsi="宋体" w:eastAsia="宋体" w:cs="宋体"/>
                <w:i w:val="0"/>
                <w:iCs w:val="0"/>
                <w:color w:val="000000"/>
                <w:kern w:val="0"/>
                <w:sz w:val="20"/>
                <w:szCs w:val="20"/>
                <w:u w:val="none"/>
                <w:bdr w:val="none" w:color="auto" w:sz="0" w:space="0"/>
                <w:lang w:val="en-US" w:eastAsia="zh-CN" w:bidi="ar"/>
              </w:rPr>
              <w:t>食品安全国家标准</w:t>
            </w: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食品中污染物限量等标准及产品明示标准的要求</w:t>
            </w: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酸值/酸价、过氧化值、黄曲霉毒素B1、铅（以Pb计）、苯并[a]芘、溶剂残留量、特丁基对苯二酚（TBHQ）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玉米油</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酸值/酸价、过氧化值、黄曲霉毒素B1、苯并[a]芘、特丁基对苯二酚（TBHQ）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芝麻油</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酸值/酸价、过氧化值、苯并[a]芘、溶剂残留量、乙基麦芽酚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橄榄油、油橄欖果渣油</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酸值/酸价、过氧化值、溶剂残留量、特丁基对苯二酚（TBHQ）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菜籽油</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酸值/酸价、过氧化值、铅（以Pb计）、苯并[a]芘、溶剂残留量、特丁基对苯二酚（TBHQ）、乙基麦芽酚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大豆油</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酸值/酸价、过氧化值、苯并[a]芘、溶剂残留量、特丁基对苯二酚（TBHQ）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食用植物调和油</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酸价、过氧化值、苯并[a]芘、溶剂残留量、特丁基对苯二酚（TBHQ）、乙基麦芽酚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其他食用植物油（半精炼、全精炼）</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酸值/酸价、过氧化值、铅（以Pb计）、苯并[a]芘、溶剂残留量、特丁基对苯二酚（TBHQ）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煎炸过程用油（餐饮环节）</w:t>
            </w: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煎炸过程用油</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酸价、极性组分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食用动物油脂</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食用动物油脂</w:t>
            </w: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食用动物油脂</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酸价、过氧化值、丙二醛、总神、苯并[a]芘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食用油脂制品</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食用油脂制品</w:t>
            </w: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食用油脂制品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酸价（以脂肪计）、过氧化值（以脂肪计）、大肠菌群、霉菌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2</w:t>
            </w:r>
            <w:bookmarkStart w:id="0" w:name="_GoBack"/>
            <w:bookmarkEnd w:id="0"/>
          </w:p>
        </w:tc>
        <w:tc>
          <w:tcPr>
            <w:tcW w:w="8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糖果制品</w:t>
            </w:r>
          </w:p>
        </w:tc>
        <w:tc>
          <w:tcPr>
            <w:tcW w:w="106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糖果制品（含巧克力及制品）</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糖果</w:t>
            </w: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糖果</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xml:space="preserve">GB2760 </w:t>
            </w:r>
            <w:r>
              <w:rPr>
                <w:rFonts w:hint="eastAsia" w:ascii="宋体" w:hAnsi="宋体" w:eastAsia="宋体" w:cs="宋体"/>
                <w:i w:val="0"/>
                <w:iCs w:val="0"/>
                <w:color w:val="000000"/>
                <w:kern w:val="0"/>
                <w:sz w:val="20"/>
                <w:szCs w:val="20"/>
                <w:u w:val="none"/>
                <w:bdr w:val="none" w:color="auto" w:sz="0" w:space="0"/>
                <w:lang w:val="en-US" w:eastAsia="zh-CN" w:bidi="ar"/>
              </w:rPr>
              <w:t>食品安全国家标准</w:t>
            </w: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食品添加剂使用标准、</w:t>
            </w:r>
            <w:r>
              <w:rPr>
                <w:rFonts w:hint="default" w:ascii="Arial" w:hAnsi="Arial" w:eastAsia="宋体" w:cs="Arial"/>
                <w:i w:val="0"/>
                <w:iCs w:val="0"/>
                <w:color w:val="000000"/>
                <w:kern w:val="0"/>
                <w:sz w:val="20"/>
                <w:szCs w:val="20"/>
                <w:u w:val="none"/>
                <w:bdr w:val="none" w:color="auto" w:sz="0" w:space="0"/>
                <w:lang w:val="en-US" w:eastAsia="zh-CN" w:bidi="ar"/>
              </w:rPr>
              <w:t xml:space="preserve">GB2762 </w:t>
            </w:r>
            <w:r>
              <w:rPr>
                <w:rFonts w:hint="eastAsia" w:ascii="宋体" w:hAnsi="宋体" w:eastAsia="宋体" w:cs="宋体"/>
                <w:i w:val="0"/>
                <w:iCs w:val="0"/>
                <w:color w:val="000000"/>
                <w:kern w:val="0"/>
                <w:sz w:val="20"/>
                <w:szCs w:val="20"/>
                <w:u w:val="none"/>
                <w:bdr w:val="none" w:color="auto" w:sz="0" w:space="0"/>
                <w:lang w:val="en-US" w:eastAsia="zh-CN" w:bidi="ar"/>
              </w:rPr>
              <w:t>食品安全国家标准</w:t>
            </w: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食品中污染物限量、</w:t>
            </w:r>
            <w:r>
              <w:rPr>
                <w:rFonts w:hint="default" w:ascii="Arial" w:hAnsi="Arial" w:eastAsia="宋体" w:cs="Arial"/>
                <w:i w:val="0"/>
                <w:iCs w:val="0"/>
                <w:color w:val="000000"/>
                <w:kern w:val="0"/>
                <w:sz w:val="20"/>
                <w:szCs w:val="20"/>
                <w:u w:val="none"/>
                <w:bdr w:val="none" w:color="auto" w:sz="0" w:space="0"/>
                <w:lang w:val="en-US" w:eastAsia="zh-CN" w:bidi="ar"/>
              </w:rPr>
              <w:t xml:space="preserve">GB4789.2 </w:t>
            </w:r>
            <w:r>
              <w:rPr>
                <w:rFonts w:hint="eastAsia" w:ascii="宋体" w:hAnsi="宋体" w:eastAsia="宋体" w:cs="宋体"/>
                <w:i w:val="0"/>
                <w:iCs w:val="0"/>
                <w:color w:val="000000"/>
                <w:kern w:val="0"/>
                <w:sz w:val="20"/>
                <w:szCs w:val="20"/>
                <w:u w:val="none"/>
                <w:bdr w:val="none" w:color="auto" w:sz="0" w:space="0"/>
                <w:lang w:val="en-US" w:eastAsia="zh-CN" w:bidi="ar"/>
              </w:rPr>
              <w:t>食品安全国家标准</w:t>
            </w: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食品微生物学检验菌落总数测定、</w:t>
            </w:r>
            <w:r>
              <w:rPr>
                <w:rFonts w:hint="default" w:ascii="Arial" w:hAnsi="Arial" w:eastAsia="宋体" w:cs="Arial"/>
                <w:i w:val="0"/>
                <w:iCs w:val="0"/>
                <w:color w:val="000000"/>
                <w:kern w:val="0"/>
                <w:sz w:val="20"/>
                <w:szCs w:val="20"/>
                <w:u w:val="none"/>
                <w:bdr w:val="none" w:color="auto" w:sz="0" w:space="0"/>
                <w:lang w:val="en-US" w:eastAsia="zh-CN" w:bidi="ar"/>
              </w:rPr>
              <w:t xml:space="preserve">GB4789.3 </w:t>
            </w:r>
            <w:r>
              <w:rPr>
                <w:rFonts w:hint="eastAsia" w:ascii="宋体" w:hAnsi="宋体" w:eastAsia="宋体" w:cs="宋体"/>
                <w:i w:val="0"/>
                <w:iCs w:val="0"/>
                <w:color w:val="000000"/>
                <w:kern w:val="0"/>
                <w:sz w:val="20"/>
                <w:szCs w:val="20"/>
                <w:u w:val="none"/>
                <w:bdr w:val="none" w:color="auto" w:sz="0" w:space="0"/>
                <w:lang w:val="en-US" w:eastAsia="zh-CN" w:bidi="ar"/>
              </w:rPr>
              <w:t>食品安全国家标准</w:t>
            </w:r>
            <w:r>
              <w:rPr>
                <w:rFonts w:hint="default" w:ascii="Arial" w:hAnsi="Arial" w:eastAsia="宋体" w:cs="Arial"/>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食品微生物学检验大肠菌群计数等标准及产品明示标准和指标的要求。</w:t>
            </w: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铅（以</w:t>
            </w:r>
            <w:r>
              <w:rPr>
                <w:rFonts w:hint="default" w:ascii="Arial" w:hAnsi="Arial" w:eastAsia="宋体" w:cs="Arial"/>
                <w:i w:val="0"/>
                <w:iCs w:val="0"/>
                <w:color w:val="000000"/>
                <w:kern w:val="0"/>
                <w:sz w:val="20"/>
                <w:szCs w:val="20"/>
                <w:u w:val="none"/>
                <w:bdr w:val="none" w:color="auto" w:sz="0" w:space="0"/>
                <w:lang w:val="en-US" w:eastAsia="zh-CN" w:bidi="ar"/>
              </w:rPr>
              <w:t>Pb</w:t>
            </w:r>
            <w:r>
              <w:rPr>
                <w:rFonts w:hint="eastAsia" w:ascii="宋体" w:hAnsi="宋体" w:eastAsia="宋体" w:cs="宋体"/>
                <w:i w:val="0"/>
                <w:iCs w:val="0"/>
                <w:color w:val="000000"/>
                <w:kern w:val="0"/>
                <w:sz w:val="20"/>
                <w:szCs w:val="20"/>
                <w:u w:val="none"/>
                <w:bdr w:val="none" w:color="auto" w:sz="0" w:space="0"/>
                <w:lang w:val="en-US" w:eastAsia="zh-CN" w:bidi="ar"/>
              </w:rPr>
              <w:t>计）、糖精钠（以糖精计）、合成着色剂（柠檬黄、苋菜红、胭脂红、日落黄）、相同色泽着色剂混合使用时各自用量占其最大使用量的比例之和、菌落总数、大肠菌群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巧克力及巧克力制品</w:t>
            </w: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巧克力、巧克力制品、代可可脂巧克力及代可可脂巧克力制品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铅（以Pb计）、沙门氏菌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果冻</w:t>
            </w:r>
          </w:p>
        </w:tc>
        <w:tc>
          <w:tcPr>
            <w:tcW w:w="22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果冻</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山梨酸及其钾盐（以山梨酸计）、苯甲酸及其钠盐（以苯甲酸计）、糖精钠（以糖精计）、甜蜜素（以环己基氨基磺酸计）、菌落总数、大肠菌群、霉菌、酵母</w:t>
            </w:r>
          </w:p>
        </w:tc>
      </w:tr>
    </w:tbl>
    <w:p>
      <w:pPr>
        <w:pStyle w:val="2"/>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N2NhZTIxZTU5OTU4MmVhZDFhNDUyMmIzOGQzMjEifQ=="/>
  </w:docVars>
  <w:rsids>
    <w:rsidRoot w:val="6C6C5138"/>
    <w:rsid w:val="03922815"/>
    <w:rsid w:val="08805B14"/>
    <w:rsid w:val="0A8102FA"/>
    <w:rsid w:val="1153583E"/>
    <w:rsid w:val="20285785"/>
    <w:rsid w:val="230E0CDD"/>
    <w:rsid w:val="2A8F1D5F"/>
    <w:rsid w:val="2BC67B29"/>
    <w:rsid w:val="40BE6428"/>
    <w:rsid w:val="425151ED"/>
    <w:rsid w:val="43ED1FE8"/>
    <w:rsid w:val="474D3143"/>
    <w:rsid w:val="47921A67"/>
    <w:rsid w:val="63BD273C"/>
    <w:rsid w:val="6C6C5138"/>
    <w:rsid w:val="7F8A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topLinePunct/>
      <w:ind w:firstLine="560" w:firstLineChars="200"/>
    </w:pPr>
    <w:rPr>
      <w:rFonts w:ascii="宋体" w:hAnsi="宋体"/>
      <w:sz w:val="28"/>
    </w:rPr>
  </w:style>
  <w:style w:type="character" w:styleId="5">
    <w:name w:val="Emphasis"/>
    <w:basedOn w:val="4"/>
    <w:qFormat/>
    <w:uiPriority w:val="0"/>
    <w:rPr>
      <w:i/>
    </w:rPr>
  </w:style>
  <w:style w:type="character" w:customStyle="1" w:styleId="6">
    <w:name w:val="font211"/>
    <w:basedOn w:val="4"/>
    <w:qFormat/>
    <w:uiPriority w:val="0"/>
    <w:rPr>
      <w:rFonts w:hint="eastAsia" w:ascii="宋体" w:hAnsi="宋体" w:eastAsia="宋体" w:cs="宋体"/>
      <w:color w:val="000000"/>
      <w:sz w:val="20"/>
      <w:szCs w:val="20"/>
      <w:u w:val="none"/>
      <w:vertAlign w:val="subscript"/>
    </w:rPr>
  </w:style>
  <w:style w:type="character" w:customStyle="1" w:styleId="7">
    <w:name w:val="font21"/>
    <w:basedOn w:val="4"/>
    <w:qFormat/>
    <w:uiPriority w:val="0"/>
    <w:rPr>
      <w:rFonts w:hint="eastAsia" w:ascii="宋体" w:hAnsi="宋体" w:eastAsia="宋体" w:cs="宋体"/>
      <w:color w:val="000000"/>
      <w:sz w:val="20"/>
      <w:szCs w:val="20"/>
      <w:u w:val="none"/>
    </w:rPr>
  </w:style>
  <w:style w:type="character" w:customStyle="1" w:styleId="8">
    <w:name w:val="font01"/>
    <w:basedOn w:val="4"/>
    <w:qFormat/>
    <w:uiPriority w:val="0"/>
    <w:rPr>
      <w:rFonts w:hint="default" w:ascii="Arial" w:hAnsi="Arial" w:cs="Arial"/>
      <w:color w:val="000000"/>
      <w:sz w:val="20"/>
      <w:szCs w:val="20"/>
      <w:u w:val="none"/>
    </w:rPr>
  </w:style>
  <w:style w:type="character" w:customStyle="1" w:styleId="9">
    <w:name w:val="font31"/>
    <w:basedOn w:val="4"/>
    <w:qFormat/>
    <w:uiPriority w:val="0"/>
    <w:rPr>
      <w:rFonts w:hint="default" w:ascii="Arial" w:hAnsi="Arial" w:cs="Arial"/>
      <w:color w:val="000000"/>
      <w:sz w:val="20"/>
      <w:szCs w:val="20"/>
      <w:u w:val="none"/>
      <w:vertAlign w:val="subscript"/>
    </w:rPr>
  </w:style>
  <w:style w:type="character" w:customStyle="1" w:styleId="10">
    <w:name w:val="font11"/>
    <w:basedOn w:val="4"/>
    <w:qFormat/>
    <w:uiPriority w:val="0"/>
    <w:rPr>
      <w:rFonts w:hint="default" w:ascii="Arial" w:hAnsi="Arial" w:cs="Arial"/>
      <w:color w:val="000000"/>
      <w:sz w:val="20"/>
      <w:szCs w:val="20"/>
      <w:u w:val="none"/>
    </w:rPr>
  </w:style>
  <w:style w:type="character" w:customStyle="1" w:styleId="11">
    <w:name w:val="font41"/>
    <w:basedOn w:val="4"/>
    <w:qFormat/>
    <w:uiPriority w:val="0"/>
    <w:rPr>
      <w:rFonts w:hint="default" w:ascii="MingLiU" w:hAnsi="MingLiU" w:eastAsia="MingLiU" w:cs="MingLiU"/>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4</Pages>
  <Words>1708</Words>
  <Characters>1802</Characters>
  <Lines>0</Lines>
  <Paragraphs>0</Paragraphs>
  <TotalTime>4</TotalTime>
  <ScaleCrop>false</ScaleCrop>
  <LinksUpToDate>false</LinksUpToDate>
  <CharactersWithSpaces>1826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2022-08-25T13:50:00Z</dcterms:created>
  <dc:creator>王聪</dc:creator>
  <cp:lastModifiedBy>东东枪</cp:lastModifiedBy>
  <dcterms:modified xsi:type="dcterms:W3CDTF">2022-10-22T16:18:04Z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F171EFCB816F436493F981DEB21A2952</vt:lpwstr>
  </property>
</Properties>
</file>