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left="-319" w:leftChars="-133" w:firstLine="0" w:firstLineChars="0"/>
        <w:jc w:val="both"/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-980440</wp:posOffset>
                </wp:positionH>
                <wp:positionV relativeFrom="paragraph">
                  <wp:posOffset>-206375</wp:posOffset>
                </wp:positionV>
                <wp:extent cx="674370" cy="881380"/>
                <wp:effectExtent l="0" t="0" r="1143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en-US" w:eastAsia="zh-CN"/>
                              </w:rPr>
                              <w:t xml:space="preserve"> 8 —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7.2pt;margin-top:-16.25pt;height:69.4pt;width:53.1pt;z-index:-251657216;mso-width-relative:page;mso-height-relative:page;" fillcolor="#FFFFFF" filled="t" stroked="f" coordsize="21600,21600" o:gfxdata="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MR&#10;QpjcAAAADAEAAA8AAAAAAAAAAQAgAAAAIgAAAGRycy9kb3ducmV2LnhtbFBLAQIUABQAAAAIAIdO&#10;4kCSHg+nrQEAADYDAAAOAAAAAAAAAAEAIAAAACsBAABkcnMvZTJvRG9jLnhtbFBLBQYAAAAABgAG&#10;AFkBAABKBQAAAAA=&#10;">
                <v:path/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default" w:eastAsia="宋体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en-US" w:eastAsia="zh-CN"/>
                        </w:rPr>
                        <w:t xml:space="preserve"> 8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方正黑体_GBK" w:cs="方正黑体_GBK"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44"/>
          <w:szCs w:val="44"/>
          <w:lang w:val="en-US" w:eastAsia="zh-CN"/>
        </w:rPr>
        <w:t>曲靖市补充耕地指标欠账情况及资金折算统计表</w:t>
      </w:r>
    </w:p>
    <w:tbl>
      <w:tblPr>
        <w:tblStyle w:val="5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36"/>
        <w:gridCol w:w="895"/>
        <w:gridCol w:w="914"/>
        <w:gridCol w:w="877"/>
        <w:gridCol w:w="886"/>
        <w:gridCol w:w="1006"/>
        <w:gridCol w:w="979"/>
        <w:gridCol w:w="969"/>
        <w:gridCol w:w="831"/>
        <w:gridCol w:w="1015"/>
        <w:gridCol w:w="997"/>
        <w:gridCol w:w="812"/>
        <w:gridCol w:w="864"/>
        <w:gridCol w:w="15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91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统计截止日期：2022年6月6日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    单位：亩、万元、万公斤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序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号</w:t>
            </w: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耕地数量指标</w:t>
            </w:r>
          </w:p>
        </w:tc>
        <w:tc>
          <w:tcPr>
            <w:tcW w:w="75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水田规模指标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粮食产能指标</w:t>
            </w:r>
          </w:p>
        </w:tc>
        <w:tc>
          <w:tcPr>
            <w:tcW w:w="15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</w:t>
            </w: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欠账指标折合资金</w:t>
            </w:r>
          </w:p>
        </w:tc>
        <w:tc>
          <w:tcPr>
            <w:tcW w:w="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借用</w:t>
            </w:r>
          </w:p>
        </w:tc>
        <w:tc>
          <w:tcPr>
            <w:tcW w:w="384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其中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已还</w:t>
            </w:r>
          </w:p>
        </w:tc>
        <w:tc>
          <w:tcPr>
            <w:tcW w:w="10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</w:t>
            </w:r>
          </w:p>
        </w:tc>
        <w:tc>
          <w:tcPr>
            <w:tcW w:w="9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折合资金</w:t>
            </w:r>
          </w:p>
        </w:tc>
        <w:tc>
          <w:tcPr>
            <w:tcW w:w="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</w:t>
            </w:r>
          </w:p>
        </w:tc>
        <w:tc>
          <w:tcPr>
            <w:tcW w:w="8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欠账指标折合资金</w:t>
            </w: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4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工业园区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城镇建设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高速公路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曲靖市级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54.32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54.32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543.2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曲靖市自然资源和规划局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经开区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177.47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165.31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12.16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177.47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543.2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曲靖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经开区管委会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麒麟区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3117.91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1972.23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496.50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649.18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3117.91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31179.1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麒麟区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沾益区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1134.04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260.89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56.23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816.92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1134.04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11340.4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沾益区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马龙区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388.49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154.15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234.34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388.49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3884.9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马龙区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宣威市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117.75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117.75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1177.5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宣威市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陆良县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1615.75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215.75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400.00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1000.00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2676.85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-1061.10 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-10611.0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陆良县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师宗县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35.88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176.15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-140.27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-1402.7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师宗县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30.05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12.63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17.42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30.05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300.5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富源县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eastAsia="zh-CN"/>
              </w:rPr>
              <w:t>罗平县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0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 w:eastAsia="zh-CN"/>
              </w:rPr>
              <w:t>11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会泽县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1524.45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732.74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791.71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1524.45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15244.5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会泽县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新老占补平衡系统交替误差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-0.88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杨柳至宣威高速公路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2609.61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13048.05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148.76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14876.00 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曲靖市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宣威市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车马碧水库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5092.09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25460.45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253.25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25325.00 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曲靖市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马龙区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政府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合计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7701.70 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38508.50 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8195.23</w:t>
            </w: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296.77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3480.23 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2769.05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1649.18 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3030.47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5164.76</w:t>
            </w: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63670.1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402.01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40201.00 </w:t>
            </w:r>
          </w:p>
        </w:tc>
        <w:tc>
          <w:tcPr>
            <w:tcW w:w="1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5"/>
                <w:szCs w:val="15"/>
                <w:u w:val="none"/>
              </w:rPr>
            </w:pPr>
          </w:p>
        </w:tc>
      </w:tr>
    </w:tbl>
    <w:p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412750</wp:posOffset>
                </wp:positionV>
                <wp:extent cx="1158875" cy="309245"/>
                <wp:effectExtent l="0" t="0" r="3175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87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1.35pt;margin-top:32.5pt;height:24.35pt;width:91.25pt;z-index:251660288;mso-width-relative:page;mso-height-relative:page;" fillcolor="#FFFFFF" filled="t" stroked="f" coordsize="21600,21600" o:gfxdata="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P9xmSrYAAAACgEAAA8AAAAAAAAAAQAgAAAAIgAA&#10;AGRycy9kb3ducmV2LnhtbFBLAQIUABQAAAAIAIdO4kDnv/lKlgEAABEDAAAOAAAAAAAAAAEAIAAA&#10;ACcBAABkcnMvZTJvRG9jLnhtbFBLBQYAAAAABgAGAFkBAAAvBQAAAAA=&#10;">
                <v:path/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eastAsia="方正仿宋_GBK" w:cs="方正仿宋_GBK"/>
          <w:color w:val="auto"/>
          <w:kern w:val="2"/>
          <w:sz w:val="32"/>
          <w:szCs w:val="32"/>
        </w:rPr>
        <w:br w:type="page"/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B5DE0"/>
    <w:rsid w:val="3E8B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99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99"/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djustRightInd w:val="0"/>
      <w:spacing w:line="315" w:lineRule="atLeast"/>
      <w:ind w:firstLine="420"/>
      <w:jc w:val="left"/>
      <w:textAlignment w:val="baseline"/>
    </w:pPr>
    <w:rPr>
      <w:rFonts w:ascii="宋体"/>
      <w:kern w:val="0"/>
      <w:sz w:val="28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2022-09-01T02:24:00Z</dcterms:created>
  <dc:creator>Administrator</dc:creator>
  <cp:lastModifiedBy>Administrator</cp:lastModifiedBy>
  <dcterms:modified xsi:type="dcterms:W3CDTF">2022-09-01T02:24:53Z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