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027" w:type="dxa"/>
        <w:tblInd w:w="-1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1"/>
        <w:gridCol w:w="1154"/>
        <w:gridCol w:w="2873"/>
        <w:gridCol w:w="6680"/>
        <w:gridCol w:w="1200"/>
        <w:gridCol w:w="2204"/>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16027"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44"/>
                <w:szCs w:val="44"/>
                <w:u w:val="none"/>
              </w:rPr>
            </w:pPr>
            <w:r>
              <w:rPr>
                <w:rFonts w:hint="default" w:ascii="Times New Roman" w:hAnsi="Times New Roman" w:cs="Times New Roman"/>
                <w:sz w:val="4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-504825</wp:posOffset>
                      </wp:positionV>
                      <wp:extent cx="1371600" cy="495300"/>
                      <wp:effectExtent l="0" t="0" r="0" b="0"/>
                      <wp:wrapNone/>
                      <wp:docPr id="1" name="文本框 1"/>
                      <wp:cNvGraphicFramePr/>
                      <a:graphic xmlns:a="http://schemas.openxmlformats.org/drawingml/2006/main">
                        <a:graphicData uri="http://schemas.microsoft.com/office/word/2010/wordprocessingShape">
                          <wps:wsp>
                            <wps:cNvSpPr txBox="1"/>
                            <wps:spPr>
                              <a:xfrm>
                                <a:off x="1102995" y="513080"/>
                                <a:ext cx="1371600" cy="495300"/>
                              </a:xfrm>
                              <a:prstGeom prst="rect">
                                <a:avLst/>
                              </a:prstGeom>
                              <a:solidFill>
                                <a:srgbClr val="FFFFFF"/>
                              </a:solidFill>
                              <a:ln w="6350">
                                <a:noFill/>
                              </a:ln>
                              <a:effectLst/>
                            </wps:spPr>
                            <wps:txbx>
                              <w:txbxContent>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39.75pt;height:39pt;width:108pt;z-index:251659264;mso-width-relative:page;mso-height-relative:page;" fillcolor="#FFFFFF" filled="t" stroked="f" coordsize="21600,21600" o:gfxdata="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&#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UE6Yg1QAAAAkBAAAPAAAAAAAAAAEAIAAAACIAAABk&#10;cnMvZG93bnJldi54bWxQSwECFAAUAAAACACHTuJAcc1rD0ICAABaBAAADgAAAAAAAAABACAAAAAk&#10;AQAAZHJzL2Uyb0RvYy54bWxQSwUGAAAAAAYABgBZAQAA2AUAAAAA&#10;">
                      <v:path/>
                      <v:fill on="t" focussize="0,0"/>
                      <v:stroke on="f" weight="0.5pt"/>
                      <v:imagedata o:title=""/>
                      <o:lock v:ext="edit" aspectratio="f"/>
                      <v:textbox>
                        <w:txbxContent>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txbxContent>
                      </v:textbox>
                    </v:shape>
                  </w:pict>
                </mc:Fallback>
              </mc:AlternateContent>
            </w:r>
            <w:r>
              <w:rPr>
                <w:rFonts w:hint="default" w:ascii="Times New Roman" w:hAnsi="Times New Roman" w:eastAsia="方正小标宋_GBK" w:cs="Times New Roman"/>
                <w:i w:val="0"/>
                <w:color w:val="000000"/>
                <w:kern w:val="0"/>
                <w:sz w:val="44"/>
                <w:szCs w:val="44"/>
                <w:u w:val="none"/>
                <w:lang w:val="en-US" w:eastAsia="zh-CN" w:bidi="ar"/>
              </w:rPr>
              <w:t>曲靖市人民</w:t>
            </w:r>
            <w:bookmarkStart w:id="0" w:name="_GoBack"/>
            <w:bookmarkEnd w:id="0"/>
            <w:r>
              <w:rPr>
                <w:rFonts w:hint="default" w:ascii="Times New Roman" w:hAnsi="Times New Roman" w:eastAsia="方正小标宋_GBK" w:cs="Times New Roman"/>
                <w:i w:val="0"/>
                <w:color w:val="000000"/>
                <w:kern w:val="0"/>
                <w:sz w:val="44"/>
                <w:szCs w:val="44"/>
                <w:u w:val="none"/>
                <w:lang w:val="en-US" w:eastAsia="zh-CN" w:bidi="ar"/>
              </w:rPr>
              <w:t>政府与省电网公司座谈研究需解决事项任务清单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trPr>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序号</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事项类型</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具体内容</w:t>
            </w:r>
          </w:p>
        </w:tc>
        <w:tc>
          <w:tcPr>
            <w:tcW w:w="6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解决措施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牵头单位</w:t>
            </w:r>
          </w:p>
        </w:tc>
        <w:tc>
          <w:tcPr>
            <w:tcW w:w="2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责任单位</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5" w:hRule="atLeast"/>
        </w:trPr>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电量增长及需求侧管理</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积极鼓励、引导上述行业抓住电力供应充裕的有利时机达产满产。成立“用电需求复核专班”，政企联动，信息共享，摸清待投产项目实际用电负荷和建设时序，助力优化电网规划。</w:t>
            </w:r>
          </w:p>
        </w:tc>
        <w:tc>
          <w:tcPr>
            <w:tcW w:w="6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一是对接昆明电力市场化交易中心，针对“全年总体紧缺、汛期阶段盈余、枯期仍有缺口”的电力供需形势进行研判。</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二是指导企业在汛期合理安排生产，优化生产方案，抓住电力供应充裕的有利时机达产满产。</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三是从用电侧、供电侧共同复核用电需求，预测用电增量。</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四是成立由陈志副市长任班长的电力保障工作专班，统筹研究解决供电保障工作中存在问题。</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市能源局、市</w:t>
            </w:r>
            <w:r>
              <w:rPr>
                <w:rFonts w:hint="eastAsia" w:ascii="Times New Roman" w:hAnsi="Times New Roman" w:eastAsia="方正仿宋_GBK" w:cs="Times New Roman"/>
                <w:i w:val="0"/>
                <w:color w:val="000000"/>
                <w:kern w:val="0"/>
                <w:sz w:val="21"/>
                <w:szCs w:val="21"/>
                <w:u w:val="none"/>
                <w:lang w:val="en-US" w:eastAsia="zh-CN" w:bidi="ar"/>
              </w:rPr>
              <w:t>工业和信息化</w:t>
            </w:r>
            <w:r>
              <w:rPr>
                <w:rFonts w:hint="default" w:ascii="Times New Roman" w:hAnsi="Times New Roman" w:eastAsia="方正仿宋_GBK" w:cs="Times New Roman"/>
                <w:i w:val="0"/>
                <w:color w:val="000000"/>
                <w:kern w:val="0"/>
                <w:sz w:val="21"/>
                <w:szCs w:val="21"/>
                <w:u w:val="none"/>
                <w:lang w:val="en-US" w:eastAsia="zh-CN" w:bidi="ar"/>
              </w:rPr>
              <w:t>局</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各县（市、区）人民政府、曲靖</w:t>
            </w:r>
            <w:r>
              <w:rPr>
                <w:rFonts w:hint="eastAsia" w:ascii="Times New Roman" w:hAnsi="Times New Roman" w:eastAsia="方正仿宋_GBK" w:cs="Times New Roman"/>
                <w:i w:val="0"/>
                <w:color w:val="000000"/>
                <w:kern w:val="0"/>
                <w:sz w:val="21"/>
                <w:szCs w:val="21"/>
                <w:u w:val="none"/>
                <w:lang w:val="en-US" w:eastAsia="zh-CN" w:bidi="ar"/>
              </w:rPr>
              <w:t>经开区</w:t>
            </w:r>
            <w:r>
              <w:rPr>
                <w:rFonts w:hint="default" w:ascii="Times New Roman" w:hAnsi="Times New Roman" w:eastAsia="方正仿宋_GBK" w:cs="Times New Roman"/>
                <w:i w:val="0"/>
                <w:color w:val="000000"/>
                <w:kern w:val="0"/>
                <w:sz w:val="21"/>
                <w:szCs w:val="21"/>
                <w:u w:val="none"/>
                <w:lang w:val="en-US" w:eastAsia="zh-CN" w:bidi="ar"/>
              </w:rPr>
              <w:t>管委会，市发展改革委、曲靖供电局</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Fonts w:hint="default" w:ascii="Times New Roman" w:hAnsi="Times New Roman" w:eastAsia="方正仿宋_GBK" w:cs="Times New Roman"/>
                <w:i w:val="0"/>
                <w:color w:val="000000"/>
                <w:kern w:val="0"/>
                <w:sz w:val="21"/>
                <w:szCs w:val="21"/>
                <w:u w:val="none"/>
                <w:lang w:val="en-US" w:eastAsia="zh-CN" w:bidi="ar"/>
              </w:rPr>
              <w:t>月</w:t>
            </w:r>
            <w:r>
              <w:rPr>
                <w:rFonts w:hint="default" w:ascii="Times New Roman" w:hAnsi="Times New Roman" w:eastAsia="宋体" w:cs="Times New Roman"/>
                <w:i w:val="0"/>
                <w:color w:val="000000"/>
                <w:kern w:val="0"/>
                <w:sz w:val="21"/>
                <w:szCs w:val="21"/>
                <w:u w:val="none"/>
                <w:lang w:val="en-US" w:eastAsia="zh-CN" w:bidi="ar"/>
              </w:rPr>
              <w:t>20</w:t>
            </w:r>
            <w:r>
              <w:rPr>
                <w:rFonts w:hint="default" w:ascii="Times New Roman" w:hAnsi="Times New Roman" w:eastAsia="方正仿宋_GBK" w:cs="Times New Roman"/>
                <w:i w:val="0"/>
                <w:color w:val="000000"/>
                <w:kern w:val="0"/>
                <w:sz w:val="21"/>
                <w:szCs w:val="21"/>
                <w:u w:val="none"/>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6" w:hRule="atLeast"/>
        </w:trPr>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优化营商环境</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依托市级“曲靖通”政务平台，提升“获得电力”服务水平。</w:t>
            </w:r>
          </w:p>
        </w:tc>
        <w:tc>
          <w:tcPr>
            <w:tcW w:w="6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制定数据互通实施方案，打造市级“曲靖通”政务平台，提升“获得电力”服务水平。</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市大数据</w:t>
            </w:r>
            <w:r>
              <w:rPr>
                <w:rFonts w:hint="eastAsia" w:ascii="Times New Roman" w:hAnsi="Times New Roman" w:eastAsia="方正仿宋_GBK" w:cs="Times New Roman"/>
                <w:i w:val="0"/>
                <w:color w:val="000000"/>
                <w:kern w:val="0"/>
                <w:sz w:val="21"/>
                <w:szCs w:val="21"/>
                <w:u w:val="none"/>
                <w:lang w:val="en-US" w:eastAsia="zh-CN" w:bidi="ar"/>
              </w:rPr>
              <w:t>建设管理</w:t>
            </w:r>
            <w:r>
              <w:rPr>
                <w:rFonts w:hint="default" w:ascii="Times New Roman" w:hAnsi="Times New Roman" w:eastAsia="方正仿宋_GBK" w:cs="Times New Roman"/>
                <w:i w:val="0"/>
                <w:color w:val="000000"/>
                <w:kern w:val="0"/>
                <w:sz w:val="21"/>
                <w:szCs w:val="21"/>
                <w:u w:val="none"/>
                <w:lang w:val="en-US" w:eastAsia="zh-CN" w:bidi="ar"/>
              </w:rPr>
              <w:t>中心</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市能源局、曲靖供电局、市发展改革委、市公安局、市自然资源和规划局、市住房城乡建设局、市市场监管局、市政务管理局</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Fonts w:hint="default" w:ascii="Times New Roman" w:hAnsi="Times New Roman" w:eastAsia="方正仿宋_GBK" w:cs="Times New Roman"/>
                <w:i w:val="0"/>
                <w:color w:val="000000"/>
                <w:kern w:val="0"/>
                <w:sz w:val="21"/>
                <w:szCs w:val="21"/>
                <w:u w:val="none"/>
                <w:lang w:val="en-US" w:eastAsia="zh-CN" w:bidi="ar"/>
              </w:rPr>
              <w:t>月</w:t>
            </w:r>
            <w:r>
              <w:rPr>
                <w:rFonts w:hint="default" w:ascii="Times New Roman" w:hAnsi="Times New Roman" w:eastAsia="宋体" w:cs="Times New Roman"/>
                <w:i w:val="0"/>
                <w:color w:val="000000"/>
                <w:kern w:val="0"/>
                <w:sz w:val="21"/>
                <w:szCs w:val="21"/>
                <w:u w:val="none"/>
                <w:lang w:val="en-US" w:eastAsia="zh-CN" w:bidi="ar"/>
              </w:rPr>
              <w:t>30</w:t>
            </w:r>
            <w:r>
              <w:rPr>
                <w:rFonts w:hint="default" w:ascii="Times New Roman" w:hAnsi="Times New Roman" w:eastAsia="方正仿宋_GBK" w:cs="Times New Roman"/>
                <w:i w:val="0"/>
                <w:color w:val="000000"/>
                <w:kern w:val="0"/>
                <w:sz w:val="21"/>
                <w:szCs w:val="21"/>
                <w:u w:val="none"/>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6" w:hRule="atLeast"/>
        </w:trPr>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煤矿</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用电</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完成煤矿企业自备电源配置，</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签订煤矿</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双电源双回路</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整改承诺，完成煤矿安全生产许可证、采矿许可证等煤矿合法性、合规生产、建设手续确认，实现信息共享。</w:t>
            </w:r>
          </w:p>
        </w:tc>
        <w:tc>
          <w:tcPr>
            <w:tcW w:w="6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是市能源局和国家矿监局云南局监察执法一处多轮筛查和摸排梳理，曲靖市双回路供电不达标且无备用电源的煤矿有28个，市能源局3月30日安排涉及煤矿在5月15日前完成自备应急电源配置，经过逐矿检查核实，煤矿企业已全部完成配置，继续跟踪做好后续工作。</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二是全市需要签订双电源整改承诺</w:t>
            </w:r>
            <w:r>
              <w:rPr>
                <w:rFonts w:hint="eastAsia" w:ascii="Times New Roman" w:hAnsi="Times New Roman" w:eastAsia="方正仿宋_GBK" w:cs="Times New Roman"/>
                <w:i w:val="0"/>
                <w:color w:val="000000"/>
                <w:kern w:val="0"/>
                <w:sz w:val="21"/>
                <w:szCs w:val="21"/>
                <w:u w:val="none"/>
                <w:lang w:val="en-US" w:eastAsia="zh-CN" w:bidi="ar"/>
              </w:rPr>
              <w:t>书</w:t>
            </w:r>
            <w:r>
              <w:rPr>
                <w:rFonts w:hint="default" w:ascii="Times New Roman" w:hAnsi="Times New Roman" w:eastAsia="方正仿宋_GBK" w:cs="Times New Roman"/>
                <w:i w:val="0"/>
                <w:color w:val="000000"/>
                <w:kern w:val="0"/>
                <w:sz w:val="21"/>
                <w:szCs w:val="21"/>
                <w:u w:val="none"/>
                <w:lang w:val="en-US" w:eastAsia="zh-CN" w:bidi="ar"/>
              </w:rPr>
              <w:t>的煤矿有104个，其中舍迫煤矿因涉法涉诉、省煤炭产业集团所属云乡煤矿长期停产尚未签订承诺</w:t>
            </w:r>
            <w:r>
              <w:rPr>
                <w:rFonts w:hint="eastAsia" w:ascii="Times New Roman" w:hAnsi="Times New Roman" w:eastAsia="方正仿宋_GBK" w:cs="Times New Roman"/>
                <w:i w:val="0"/>
                <w:color w:val="000000"/>
                <w:kern w:val="0"/>
                <w:sz w:val="21"/>
                <w:szCs w:val="21"/>
                <w:u w:val="none"/>
                <w:lang w:val="en-US" w:eastAsia="zh-CN" w:bidi="ar"/>
              </w:rPr>
              <w:t>书</w:t>
            </w:r>
            <w:r>
              <w:rPr>
                <w:rFonts w:hint="default" w:ascii="Times New Roman" w:hAnsi="Times New Roman" w:eastAsia="方正仿宋_GBK" w:cs="Times New Roman"/>
                <w:i w:val="0"/>
                <w:color w:val="000000"/>
                <w:kern w:val="0"/>
                <w:sz w:val="21"/>
                <w:szCs w:val="21"/>
                <w:u w:val="none"/>
                <w:lang w:val="en-US" w:eastAsia="zh-CN" w:bidi="ar"/>
              </w:rPr>
              <w:t>，其他煤矿均已完成签订。市、县两级能源行业主管部门督促指导煤矿6月15日前，按要求签订承诺</w:t>
            </w:r>
            <w:r>
              <w:rPr>
                <w:rFonts w:hint="eastAsia" w:ascii="Times New Roman" w:hAnsi="Times New Roman" w:eastAsia="方正仿宋_GBK" w:cs="Times New Roman"/>
                <w:i w:val="0"/>
                <w:color w:val="000000"/>
                <w:kern w:val="0"/>
                <w:sz w:val="21"/>
                <w:szCs w:val="21"/>
                <w:u w:val="none"/>
                <w:lang w:val="en-US" w:eastAsia="zh-CN" w:bidi="ar"/>
              </w:rPr>
              <w:t>书</w:t>
            </w:r>
            <w:r>
              <w:rPr>
                <w:rFonts w:hint="default" w:ascii="Times New Roman" w:hAnsi="Times New Roman"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三是督促各县（市、区）煤炭行业主管部门对煤矿企业的证照进行排查检查，6月15日前确认合法合规性，与供电部门互通信息。</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市能源局</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各涉煤县（市、区）人民政府、曲靖供电局</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6</w:t>
            </w:r>
            <w:r>
              <w:rPr>
                <w:rFonts w:hint="default" w:ascii="Times New Roman" w:hAnsi="Times New Roman" w:eastAsia="方正仿宋_GBK" w:cs="Times New Roman"/>
                <w:i w:val="0"/>
                <w:color w:val="000000"/>
                <w:kern w:val="0"/>
                <w:sz w:val="21"/>
                <w:szCs w:val="21"/>
                <w:u w:val="none"/>
                <w:lang w:val="en-US" w:eastAsia="zh-CN" w:bidi="ar"/>
              </w:rPr>
              <w:t>月</w:t>
            </w: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5</w:t>
            </w:r>
            <w:r>
              <w:rPr>
                <w:rFonts w:hint="default" w:ascii="Times New Roman" w:hAnsi="Times New Roman" w:eastAsia="方正仿宋_GBK" w:cs="Times New Roman"/>
                <w:i w:val="0"/>
                <w:color w:val="000000"/>
                <w:kern w:val="0"/>
                <w:sz w:val="21"/>
                <w:szCs w:val="21"/>
                <w:u w:val="none"/>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项目</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建设</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研究解决项目推进中涉及生态红线、林木采伐指标预留、项目用地、线路通道、林地手续报批</w:t>
            </w:r>
            <w:r>
              <w:rPr>
                <w:rFonts w:hint="default" w:ascii="Times New Roman" w:hAnsi="Times New Roman" w:eastAsia="方正仿宋_GBK" w:cs="Times New Roman"/>
                <w:i w:val="0"/>
                <w:color w:val="auto"/>
                <w:kern w:val="0"/>
                <w:sz w:val="21"/>
                <w:szCs w:val="21"/>
                <w:u w:val="none"/>
                <w:lang w:val="en-US" w:eastAsia="zh-CN" w:bidi="ar"/>
              </w:rPr>
              <w:t>、林地报批手续、占用稳定耕地调出指标（110千伏横山输变电工程占用10.5亩、110千伏三星输变电工程占用11.79亩、110千伏布都输变电工程占用17.21亩、35千伏新发输变电工程占用5.26亩、35千伏白马田输变电工程占用4.6亩、35千伏新街输变电工程占用4.24亩）等问题，完成对</w:t>
            </w:r>
            <w:r>
              <w:rPr>
                <w:rFonts w:hint="default" w:ascii="Times New Roman" w:hAnsi="Times New Roman" w:eastAsia="方正仿宋_GBK" w:cs="Times New Roman"/>
                <w:i w:val="0"/>
                <w:color w:val="000000"/>
                <w:kern w:val="0"/>
                <w:sz w:val="21"/>
                <w:szCs w:val="21"/>
                <w:u w:val="none"/>
                <w:lang w:val="en-US" w:eastAsia="zh-CN" w:bidi="ar"/>
              </w:rPr>
              <w:t>煤矿“一矿一策”双电源方案的审查并报省能源局，完成500kv西山（麒麟变）环评审查；研究解决110kv万和输变电工程线路通道问题。</w:t>
            </w:r>
          </w:p>
        </w:tc>
        <w:tc>
          <w:tcPr>
            <w:tcW w:w="6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是充分发挥工作专班统筹总抓作用，针对电网项目建设亟需解决问题，组织专班成员每月或根据工作需要临时召开协调会议，研究解决项目推进中的困难问题，全力保障项目推进；积极协调有关行业主管部门向省级汇报，争取在电网建设方面获得更多政策支持和帮助。</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二是梳理优化其他县（市、区）的供电方案，确保在6月15日前经市能源局审查同意后上报省能源局。</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三是配合500kv西山（麒麟）变项目业主于6月15日前重新取得沾益区人民政府意见后，再次进行环评审批。</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四是110kv万和变项目选址未定，尚未启动。督促供电局9月30日前与有关单位协商确定项目选址。</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市自然资源和规划局、市生态环境局、市林草局</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各县（市、区）人民政府，市住房城乡建设局、市能源局、市城市综合管理局、曲靖供电局</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6</w:t>
            </w:r>
            <w:r>
              <w:rPr>
                <w:rFonts w:hint="default" w:ascii="Times New Roman" w:hAnsi="Times New Roman" w:eastAsia="方正仿宋_GBK" w:cs="Times New Roman"/>
                <w:i w:val="0"/>
                <w:color w:val="auto"/>
                <w:kern w:val="0"/>
                <w:sz w:val="21"/>
                <w:szCs w:val="21"/>
                <w:u w:val="none"/>
                <w:lang w:val="en-US" w:eastAsia="zh-CN" w:bidi="ar"/>
              </w:rPr>
              <w:t>月</w:t>
            </w:r>
            <w:r>
              <w:rPr>
                <w:rFonts w:hint="default" w:ascii="Times New Roman" w:hAnsi="Times New Roman" w:eastAsia="宋体" w:cs="Times New Roman"/>
                <w:i w:val="0"/>
                <w:color w:val="auto"/>
                <w:kern w:val="0"/>
                <w:sz w:val="21"/>
                <w:szCs w:val="21"/>
                <w:u w:val="none"/>
                <w:lang w:val="en-US" w:eastAsia="zh-CN" w:bidi="ar"/>
              </w:rPr>
              <w:t>15</w:t>
            </w:r>
            <w:r>
              <w:rPr>
                <w:rFonts w:hint="default" w:ascii="Times New Roman" w:hAnsi="Times New Roman" w:eastAsia="方正仿宋_GBK" w:cs="Times New Roman"/>
                <w:i w:val="0"/>
                <w:color w:val="auto"/>
                <w:kern w:val="0"/>
                <w:sz w:val="21"/>
                <w:szCs w:val="21"/>
                <w:u w:val="none"/>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auto"/>
                <w:kern w:val="0"/>
                <w:sz w:val="21"/>
                <w:szCs w:val="21"/>
                <w:u w:val="none"/>
                <w:lang w:val="en-US" w:eastAsia="zh-CN" w:bidi="ar"/>
              </w:rPr>
              <w:t>9</w:t>
            </w:r>
            <w:r>
              <w:rPr>
                <w:rFonts w:hint="default" w:ascii="Times New Roman" w:hAnsi="Times New Roman" w:eastAsia="方正仿宋_GBK" w:cs="Times New Roman"/>
                <w:i w:val="0"/>
                <w:color w:val="auto"/>
                <w:kern w:val="0"/>
                <w:sz w:val="21"/>
                <w:szCs w:val="21"/>
                <w:u w:val="none"/>
                <w:lang w:val="en-US" w:eastAsia="zh-CN" w:bidi="ar"/>
              </w:rPr>
              <w:t>月</w:t>
            </w:r>
            <w:r>
              <w:rPr>
                <w:rFonts w:hint="default" w:ascii="Times New Roman" w:hAnsi="Times New Roman" w:eastAsia="宋体" w:cs="Times New Roman"/>
                <w:i w:val="0"/>
                <w:color w:val="auto"/>
                <w:kern w:val="0"/>
                <w:sz w:val="21"/>
                <w:szCs w:val="21"/>
                <w:u w:val="none"/>
                <w:lang w:val="en-US" w:eastAsia="zh-CN" w:bidi="ar"/>
              </w:rPr>
              <w:t>30</w:t>
            </w:r>
            <w:r>
              <w:rPr>
                <w:rFonts w:hint="default" w:ascii="Times New Roman" w:hAnsi="Times New Roman" w:eastAsia="方正仿宋_GBK" w:cs="Times New Roman"/>
                <w:i w:val="0"/>
                <w:color w:val="auto"/>
                <w:kern w:val="0"/>
                <w:sz w:val="21"/>
                <w:szCs w:val="21"/>
                <w:u w:val="none"/>
                <w:lang w:val="en-US" w:eastAsia="zh-CN" w:bidi="ar"/>
              </w:rPr>
              <w:t>日</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方正仿宋_GBK" w:cs="Times New Roman"/>
                <w:i w:val="0"/>
                <w:color w:val="auto"/>
                <w:kern w:val="0"/>
                <w:sz w:val="21"/>
                <w:szCs w:val="21"/>
                <w:u w:val="none"/>
                <w:lang w:val="en-US" w:eastAsia="zh-CN" w:bidi="ar"/>
              </w:rPr>
              <w:t>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隐患</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治理</w:t>
            </w:r>
          </w:p>
        </w:tc>
        <w:tc>
          <w:tcPr>
            <w:tcW w:w="28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加大对电力隐患治理的支持力度。</w:t>
            </w:r>
          </w:p>
        </w:tc>
        <w:tc>
          <w:tcPr>
            <w:tcW w:w="6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是立足电网安全风险管控工作专班平台，结合全市重点行业、重点支柱企业的风险隐患点，定期召开电网安全风险管控专班推进会，研究解决电网安全风险管控突出问题，有效降低和化解电网安全风险，确保电网安全稳定运行。（有序推进，2022年召开2次专班会议）</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二是根据梳理排查出的电网安全隐患，加大电力行政联合执法力度，依法规范做好电力线路通道保护区内的建房管控、及时快速清除电力线路通道内的林木隐患、做好电力线路通道下方焚烧秸秆等行为的管控</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及时排查化解线路、外力破坏、通道隐患等问题。</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三是督促各县（市、区）加大对“强化电力设备保护区内建房手续审批的源头控制”“出台有关林木补偿标准，简化林木砍伐手续”“出台焚烧秸秆、大气污染等有关处罚规定，通过行政执法手段减少农户焚烧秸秆行为”等问题的整改，落实整改责任、整改措施和整改时限，保障电力设施安全、平稳运行，为全市经济社会发展提供良好、健康的电力保障。</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市能源局、曲靖供电局</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各县（市、区）人民政府，曲靖经济技术开发区管委会，市公安局、市生态环境局、市住房城乡建设局、市林草局</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长期</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坚持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31044"/>
    <w:rsid w:val="0CE31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99"/>
    <w:pPr>
      <w:ind w:left="420" w:leftChars="200"/>
    </w:p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2022-08-31T02:26:00Z</dcterms:created>
  <dc:creator>Administrator</dc:creator>
  <cp:lastModifiedBy>Administrator</cp:lastModifiedBy>
  <dcterms:modified xsi:type="dcterms:W3CDTF">2022-08-31T02:26:46Z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