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snapToGrid w:val="0"/>
          <w:kern w:val="0"/>
        </w:rPr>
      </w:pPr>
      <w:bookmarkStart w:id="0" w:name="_GoBack"/>
      <w:bookmarkEnd w:id="0"/>
      <w:r>
        <w:rPr>
          <w:snapToGrid w:val="0"/>
          <w:kern w:val="0"/>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217805</wp:posOffset>
                </wp:positionV>
                <wp:extent cx="769620" cy="347345"/>
                <wp:effectExtent l="211455" t="0" r="0" b="0"/>
                <wp:wrapNone/>
                <wp:docPr id="1" name="文本框 1"/>
                <wp:cNvGraphicFramePr/>
                <a:graphic xmlns:a="http://schemas.openxmlformats.org/drawingml/2006/main">
                  <a:graphicData uri="http://schemas.microsoft.com/office/word/2010/wordprocessingShape">
                    <wps:wsp>
                      <wps:cNvSpPr txBox="1"/>
                      <wps:spPr>
                        <a:xfrm rot="5400000">
                          <a:off x="0" y="0"/>
                          <a:ext cx="769620" cy="347345"/>
                        </a:xfrm>
                        <a:prstGeom prst="rect">
                          <a:avLst/>
                        </a:prstGeom>
                        <a:noFill/>
                        <a:ln w="6350">
                          <a:noFill/>
                        </a:ln>
                      </wps:spPr>
                      <wps:txbx>
                        <w:txbxContent>
                          <w:p>
                            <w:pPr>
                              <w:rPr>
                                <w:sz w:val="28"/>
                                <w:szCs w:val="28"/>
                              </w:rPr>
                            </w:pPr>
                            <w:r>
                              <w:rPr>
                                <w:sz w:val="28"/>
                                <w:szCs w:val="28"/>
                              </w:rPr>
                              <w:t>—14—</w:t>
                            </w:r>
                          </w:p>
                        </w:txbxContent>
                      </wps:txbx>
                      <wps:bodyPr vert="eaVert" upright="1"/>
                    </wps:wsp>
                  </a:graphicData>
                </a:graphic>
              </wp:anchor>
            </w:drawing>
          </mc:Choice>
          <mc:Fallback>
            <w:pict>
              <v:shape id="_x0000_s1026" o:spid="_x0000_s1026" o:spt="202" type="#_x0000_t202" style="position:absolute;left:0pt;margin-left:-56.05pt;margin-top:17.15pt;height:27.35pt;width:60.6pt;rotation:5898240f;z-index:251659264;mso-width-relative:page;mso-height-relative:page;" filled="f" stroked="f" coordsize="21600,21600" o:gfxdata="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SKqbbXAAAACAEA&#10;AA8AAAAAAAAAAQAgAAAAIgAAAGRycy9kb3ducmV2LnhtbFBLAQIUABQAAAAIAIdO4kCS9H/eqQEA&#10;ACQDAAAOAAAAAAAAAAEAIAAAACYBAABkcnMvZTJvRG9jLnhtbFBLBQYAAAAABgAGAFkBAABBBQAA&#10;AAA=&#10;">
                <v:fill on="f" focussize="0,0"/>
                <v:stroke on="f" weight="0.5pt"/>
                <v:imagedata o:title=""/>
                <o:lock v:ext="edit" aspectratio="f"/>
                <v:textbox style="layout-flow:vertical-ideographic;">
                  <w:txbxContent>
                    <w:p>
                      <w:pPr>
                        <w:rPr>
                          <w:sz w:val="28"/>
                          <w:szCs w:val="28"/>
                        </w:rPr>
                      </w:pPr>
                      <w:r>
                        <w:rPr>
                          <w:sz w:val="28"/>
                          <w:szCs w:val="28"/>
                        </w:rPr>
                        <w:t>—14—</w:t>
                      </w:r>
                    </w:p>
                  </w:txbxContent>
                </v:textbox>
              </v:shape>
            </w:pict>
          </mc:Fallback>
        </mc:AlternateContent>
      </w:r>
      <w:r>
        <w:rPr>
          <w:rFonts w:hint="eastAsia" w:eastAsia="方正黑体_GBK" w:cs="方正黑体_GBK"/>
          <w:snapToGrid w:val="0"/>
          <w:kern w:val="0"/>
        </w:rPr>
        <w:t>附件</w:t>
      </w:r>
      <w:r>
        <w:rPr>
          <w:rFonts w:eastAsia="方正黑体_GBK"/>
          <w:snapToGrid w:val="0"/>
          <w:kern w:val="0"/>
        </w:rPr>
        <w:t>2</w:t>
      </w:r>
    </w:p>
    <w:p>
      <w:pPr>
        <w:rPr>
          <w:rFonts w:eastAsia="方正黑体_GBK"/>
          <w:snapToGrid w:val="0"/>
          <w:kern w:val="0"/>
        </w:rPr>
      </w:pPr>
    </w:p>
    <w:p>
      <w:pPr>
        <w:jc w:val="center"/>
        <w:rPr>
          <w:rFonts w:eastAsia="方正小标宋简体"/>
          <w:snapToGrid w:val="0"/>
          <w:kern w:val="0"/>
          <w:sz w:val="44"/>
          <w:szCs w:val="44"/>
        </w:rPr>
      </w:pPr>
      <w:r>
        <w:rPr>
          <w:rFonts w:hint="eastAsia" w:eastAsia="方正小标宋简体" w:cs="方正小标宋简体"/>
          <w:snapToGrid w:val="0"/>
          <w:kern w:val="0"/>
          <w:sz w:val="44"/>
          <w:szCs w:val="44"/>
        </w:rPr>
        <w:t>曲靖市《国家食品安全示范城市评价细则（</w:t>
      </w:r>
      <w:r>
        <w:rPr>
          <w:rFonts w:eastAsia="方正小标宋简体"/>
          <w:snapToGrid w:val="0"/>
          <w:kern w:val="0"/>
          <w:sz w:val="44"/>
          <w:szCs w:val="44"/>
        </w:rPr>
        <w:t>2021</w:t>
      </w:r>
      <w:r>
        <w:rPr>
          <w:rFonts w:hint="eastAsia" w:eastAsia="方正小标宋简体" w:cs="方正小标宋简体"/>
          <w:snapToGrid w:val="0"/>
          <w:kern w:val="0"/>
          <w:sz w:val="44"/>
          <w:szCs w:val="44"/>
        </w:rPr>
        <w:t>版）》责任分解表</w:t>
      </w:r>
    </w:p>
    <w:tbl>
      <w:tblPr>
        <w:tblStyle w:val="6"/>
        <w:tblW w:w="15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4769"/>
        <w:gridCol w:w="2010"/>
        <w:gridCol w:w="3121"/>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blHeader/>
        </w:trPr>
        <w:tc>
          <w:tcPr>
            <w:tcW w:w="1890" w:type="dxa"/>
            <w:vAlign w:val="center"/>
          </w:tcPr>
          <w:p>
            <w:pPr>
              <w:jc w:val="center"/>
              <w:rPr>
                <w:rFonts w:eastAsia="方正黑体_GBK"/>
                <w:snapToGrid w:val="0"/>
                <w:kern w:val="0"/>
                <w:sz w:val="24"/>
                <w:szCs w:val="24"/>
              </w:rPr>
            </w:pPr>
            <w:r>
              <w:rPr>
                <w:rFonts w:hint="eastAsia" w:eastAsia="方正黑体_GBK" w:cs="方正黑体_GBK"/>
                <w:snapToGrid w:val="0"/>
                <w:kern w:val="0"/>
                <w:sz w:val="24"/>
                <w:szCs w:val="24"/>
              </w:rPr>
              <w:t>评价要点</w:t>
            </w:r>
          </w:p>
        </w:tc>
        <w:tc>
          <w:tcPr>
            <w:tcW w:w="4769" w:type="dxa"/>
            <w:vAlign w:val="center"/>
          </w:tcPr>
          <w:p>
            <w:pPr>
              <w:jc w:val="center"/>
              <w:rPr>
                <w:rFonts w:eastAsia="方正黑体_GBK"/>
                <w:snapToGrid w:val="0"/>
                <w:kern w:val="0"/>
                <w:sz w:val="24"/>
                <w:szCs w:val="24"/>
              </w:rPr>
            </w:pPr>
            <w:r>
              <w:rPr>
                <w:rFonts w:hint="eastAsia" w:eastAsia="方正黑体_GBK" w:cs="方正黑体_GBK"/>
                <w:snapToGrid w:val="0"/>
                <w:kern w:val="0"/>
                <w:sz w:val="24"/>
                <w:szCs w:val="24"/>
              </w:rPr>
              <w:t>评价内容</w:t>
            </w:r>
          </w:p>
        </w:tc>
        <w:tc>
          <w:tcPr>
            <w:tcW w:w="2010" w:type="dxa"/>
            <w:vAlign w:val="center"/>
          </w:tcPr>
          <w:p>
            <w:pPr>
              <w:jc w:val="center"/>
              <w:rPr>
                <w:rFonts w:eastAsia="方正黑体_GBK"/>
                <w:snapToGrid w:val="0"/>
                <w:kern w:val="0"/>
                <w:sz w:val="24"/>
                <w:szCs w:val="24"/>
              </w:rPr>
            </w:pPr>
            <w:r>
              <w:rPr>
                <w:rFonts w:hint="eastAsia" w:eastAsia="方正黑体_GBK" w:cs="方正黑体_GBK"/>
                <w:snapToGrid w:val="0"/>
                <w:kern w:val="0"/>
                <w:sz w:val="24"/>
                <w:szCs w:val="24"/>
              </w:rPr>
              <w:t>评价方式</w:t>
            </w:r>
          </w:p>
        </w:tc>
        <w:tc>
          <w:tcPr>
            <w:tcW w:w="3121" w:type="dxa"/>
            <w:vAlign w:val="center"/>
          </w:tcPr>
          <w:p>
            <w:pPr>
              <w:jc w:val="center"/>
              <w:rPr>
                <w:rFonts w:eastAsia="方正黑体_GBK"/>
                <w:snapToGrid w:val="0"/>
                <w:kern w:val="0"/>
                <w:sz w:val="24"/>
                <w:szCs w:val="24"/>
              </w:rPr>
            </w:pPr>
            <w:r>
              <w:rPr>
                <w:rFonts w:hint="eastAsia" w:eastAsia="方正黑体_GBK" w:cs="方正黑体_GBK"/>
                <w:snapToGrid w:val="0"/>
                <w:kern w:val="0"/>
                <w:sz w:val="24"/>
                <w:szCs w:val="24"/>
              </w:rPr>
              <w:t>牵头单位</w:t>
            </w:r>
          </w:p>
        </w:tc>
        <w:tc>
          <w:tcPr>
            <w:tcW w:w="3450" w:type="dxa"/>
            <w:vAlign w:val="center"/>
          </w:tcPr>
          <w:p>
            <w:pPr>
              <w:jc w:val="center"/>
              <w:rPr>
                <w:rFonts w:eastAsia="方正黑体_GBK"/>
                <w:snapToGrid w:val="0"/>
                <w:kern w:val="0"/>
                <w:sz w:val="24"/>
                <w:szCs w:val="24"/>
              </w:rPr>
            </w:pPr>
            <w:r>
              <w:rPr>
                <w:rFonts w:hint="eastAsia" w:eastAsia="方正黑体_GBK" w:cs="方正黑体_GBK"/>
                <w:snapToGrid w:val="0"/>
                <w:kern w:val="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40" w:type="dxa"/>
            <w:gridSpan w:val="5"/>
            <w:vAlign w:val="center"/>
          </w:tcPr>
          <w:p>
            <w:pPr>
              <w:jc w:val="left"/>
              <w:rPr>
                <w:rFonts w:eastAsia="黑体fal"/>
                <w:snapToGrid w:val="0"/>
                <w:kern w:val="0"/>
                <w:sz w:val="28"/>
                <w:szCs w:val="28"/>
              </w:rPr>
            </w:pPr>
            <w:r>
              <w:rPr>
                <w:rFonts w:hint="eastAsia" w:eastAsia="黑体fal" w:cs="黑体fal"/>
                <w:snapToGrid w:val="0"/>
                <w:kern w:val="0"/>
                <w:sz w:val="28"/>
                <w:szCs w:val="28"/>
              </w:rPr>
              <w:t>一、基础工作（</w:t>
            </w:r>
            <w:r>
              <w:rPr>
                <w:rFonts w:eastAsia="黑体fal"/>
                <w:snapToGrid w:val="0"/>
                <w:kern w:val="0"/>
                <w:sz w:val="28"/>
                <w:szCs w:val="28"/>
              </w:rPr>
              <w:t>30</w:t>
            </w:r>
            <w:r>
              <w:rPr>
                <w:rFonts w:hint="eastAsia" w:eastAsia="黑体fal" w:cs="黑体fal"/>
                <w:snapToGrid w:val="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1.</w:t>
            </w:r>
            <w:r>
              <w:rPr>
                <w:rFonts w:hint="eastAsia" w:eastAsia="仿宋_GB2312" w:cs="仿宋_GB2312"/>
                <w:snapToGrid w:val="0"/>
                <w:kern w:val="0"/>
                <w:sz w:val="24"/>
                <w:szCs w:val="24"/>
              </w:rPr>
              <w:t>党政同责</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w:t>
            </w:r>
            <w:r>
              <w:rPr>
                <w:rFonts w:hint="eastAsia" w:eastAsia="仿宋_GB2312" w:cs="仿宋_GB2312"/>
                <w:snapToGrid w:val="0"/>
                <w:kern w:val="0"/>
                <w:sz w:val="24"/>
                <w:szCs w:val="24"/>
              </w:rPr>
              <w:t>分）</w:t>
            </w:r>
          </w:p>
        </w:tc>
        <w:tc>
          <w:tcPr>
            <w:tcW w:w="4769" w:type="dxa"/>
            <w:vAlign w:val="center"/>
          </w:tcPr>
          <w:p>
            <w:pPr>
              <w:snapToGrid w:val="0"/>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w:t>
            </w:r>
            <w:r>
              <w:rPr>
                <w:rFonts w:hint="eastAsia" w:eastAsia="仿宋_GB2312" w:cs="仿宋_GB2312"/>
                <w:snapToGrid w:val="0"/>
                <w:kern w:val="0"/>
                <w:sz w:val="24"/>
                <w:szCs w:val="24"/>
              </w:rPr>
              <w:t>）落实《地方党政领导干部食品安全责任制规定》要求，将食品安全重大部署、重点工作纳入党委和政府跟踪督办内容，结合巡察工作安排对地方党政领导干部履行食品安全工作职责情况进行检查。</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资料审查</w:t>
            </w:r>
          </w:p>
          <w:p>
            <w:pPr>
              <w:jc w:val="center"/>
              <w:rPr>
                <w:rFonts w:eastAsia="仿宋_GB2312"/>
                <w:snapToGrid w:val="0"/>
                <w:kern w:val="0"/>
                <w:sz w:val="24"/>
                <w:szCs w:val="24"/>
              </w:rPr>
            </w:pPr>
            <w:r>
              <w:rPr>
                <w:rFonts w:hint="eastAsia" w:eastAsia="仿宋_GB2312" w:cs="仿宋_GB2312"/>
                <w:snapToGrid w:val="0"/>
                <w:kern w:val="0"/>
                <w:sz w:val="24"/>
                <w:szCs w:val="24"/>
              </w:rPr>
              <w:t>党政领导访谈</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市纪委市监委</w:t>
            </w:r>
          </w:p>
          <w:p>
            <w:pPr>
              <w:jc w:val="center"/>
              <w:rPr>
                <w:rFonts w:eastAsia="仿宋_GB2312"/>
                <w:snapToGrid w:val="0"/>
                <w:kern w:val="0"/>
                <w:sz w:val="24"/>
                <w:szCs w:val="24"/>
              </w:rPr>
            </w:pPr>
            <w:r>
              <w:rPr>
                <w:rFonts w:hint="eastAsia" w:eastAsia="仿宋_GB2312" w:cs="仿宋_GB2312"/>
                <w:snapToGrid w:val="0"/>
                <w:kern w:val="0"/>
                <w:sz w:val="24"/>
                <w:szCs w:val="24"/>
              </w:rPr>
              <w:t>市委巡察办</w:t>
            </w:r>
          </w:p>
          <w:p>
            <w:pPr>
              <w:jc w:val="center"/>
              <w:rPr>
                <w:rFonts w:eastAsia="仿宋_GB2312"/>
                <w:snapToGrid w:val="0"/>
                <w:kern w:val="0"/>
                <w:sz w:val="24"/>
                <w:szCs w:val="24"/>
              </w:rPr>
            </w:pPr>
            <w:r>
              <w:rPr>
                <w:rFonts w:hint="eastAsia" w:eastAsia="仿宋_GB2312" w:cs="仿宋_GB2312"/>
                <w:snapToGrid w:val="0"/>
                <w:kern w:val="0"/>
                <w:sz w:val="24"/>
                <w:szCs w:val="24"/>
              </w:rPr>
              <w:t>市委督查室</w:t>
            </w:r>
          </w:p>
          <w:p>
            <w:pPr>
              <w:jc w:val="center"/>
              <w:rPr>
                <w:snapToGrid w:val="0"/>
                <w:kern w:val="0"/>
              </w:rPr>
            </w:pPr>
            <w:r>
              <w:rPr>
                <w:rFonts w:hint="eastAsia" w:eastAsia="仿宋_GB2312" w:cs="仿宋_GB2312"/>
                <w:snapToGrid w:val="0"/>
                <w:kern w:val="0"/>
                <w:sz w:val="24"/>
                <w:szCs w:val="24"/>
              </w:rPr>
              <w:t>市政府督查室</w:t>
            </w:r>
          </w:p>
        </w:tc>
        <w:tc>
          <w:tcPr>
            <w:tcW w:w="3450" w:type="dxa"/>
            <w:vAlign w:val="center"/>
          </w:tcPr>
          <w:p>
            <w:pPr>
              <w:rPr>
                <w:rFonts w:eastAsia="仿宋_GB2312"/>
                <w:snapToGrid w:val="0"/>
                <w:kern w:val="0"/>
                <w:sz w:val="24"/>
                <w:szCs w:val="24"/>
              </w:rPr>
            </w:pPr>
            <w:r>
              <w:rPr>
                <w:rFonts w:hint="eastAsia" w:eastAsia="仿宋_GB2312" w:cs="仿宋_GB2312"/>
                <w:snapToGrid w:val="0"/>
                <w:kern w:val="0"/>
                <w:sz w:val="24"/>
                <w:szCs w:val="24"/>
              </w:rPr>
              <w:t>市政府食品安全办、各县（市、区）人民政府、曲靖经开区管委会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w:t>
            </w:r>
            <w:r>
              <w:rPr>
                <w:rFonts w:hint="eastAsia" w:eastAsia="仿宋_GB2312" w:cs="仿宋_GB2312"/>
                <w:snapToGrid w:val="0"/>
                <w:kern w:val="0"/>
                <w:sz w:val="24"/>
                <w:szCs w:val="24"/>
              </w:rPr>
              <w:t>）对下一级地方政府食品安全工作进行评议考核，将确保食品安全工作成效作为衡量地方党政领导班子和领导干部政绩的重要指标。</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资料审查</w:t>
            </w:r>
          </w:p>
          <w:p>
            <w:pPr>
              <w:jc w:val="center"/>
              <w:rPr>
                <w:rFonts w:eastAsia="仿宋_GB2312"/>
                <w:snapToGrid w:val="0"/>
                <w:kern w:val="0"/>
                <w:sz w:val="24"/>
                <w:szCs w:val="24"/>
              </w:rPr>
            </w:pPr>
            <w:r>
              <w:rPr>
                <w:rFonts w:hint="eastAsia" w:eastAsia="仿宋_GB2312" w:cs="仿宋_GB2312"/>
                <w:snapToGrid w:val="0"/>
                <w:kern w:val="0"/>
                <w:sz w:val="24"/>
                <w:szCs w:val="24"/>
              </w:rPr>
              <w:t>党政领导访谈</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市委组织部</w:t>
            </w:r>
          </w:p>
          <w:p>
            <w:pPr>
              <w:jc w:val="center"/>
              <w:rPr>
                <w:rFonts w:eastAsia="仿宋_GB2312"/>
                <w:snapToGrid w:val="0"/>
                <w:kern w:val="0"/>
                <w:sz w:val="24"/>
                <w:szCs w:val="24"/>
              </w:rPr>
            </w:pPr>
            <w:r>
              <w:rPr>
                <w:rFonts w:hint="eastAsia" w:eastAsia="仿宋_GB2312" w:cs="仿宋_GB2312"/>
                <w:snapToGrid w:val="0"/>
                <w:kern w:val="0"/>
                <w:sz w:val="24"/>
                <w:szCs w:val="24"/>
              </w:rPr>
              <w:t>市委市政府综合考核办</w:t>
            </w:r>
          </w:p>
        </w:tc>
        <w:tc>
          <w:tcPr>
            <w:tcW w:w="3450" w:type="dxa"/>
            <w:vAlign w:val="center"/>
          </w:tcPr>
          <w:p>
            <w:pPr>
              <w:rPr>
                <w:rFonts w:eastAsia="仿宋_GB2312"/>
                <w:snapToGrid w:val="0"/>
                <w:kern w:val="0"/>
                <w:sz w:val="24"/>
                <w:szCs w:val="24"/>
              </w:rPr>
            </w:pPr>
            <w:r>
              <w:rPr>
                <w:rFonts w:hint="eastAsia" w:eastAsia="仿宋_GB2312" w:cs="仿宋_GB2312"/>
                <w:snapToGrid w:val="0"/>
                <w:kern w:val="0"/>
                <w:sz w:val="24"/>
                <w:szCs w:val="24"/>
              </w:rPr>
              <w:t>市政府食品安全办、各县（市、区）人民政府、曲靖经开区管委会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w:t>
            </w:r>
            <w:r>
              <w:rPr>
                <w:rFonts w:hint="eastAsia" w:eastAsia="仿宋_GB2312" w:cs="仿宋_GB2312"/>
                <w:snapToGrid w:val="0"/>
                <w:kern w:val="0"/>
                <w:sz w:val="24"/>
                <w:szCs w:val="24"/>
              </w:rPr>
              <w:t>）督促党政领导干部贯彻落实党中央、国务院关于食品安全工作的决策部署，履行食品安全工作职责，对在食品安全工作中敢于作为、勇于担当、履职尽责的，给予表彰奖励；对履职不力的，按照有关规定进行问责。</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资料审查</w:t>
            </w:r>
          </w:p>
          <w:p>
            <w:pPr>
              <w:jc w:val="center"/>
              <w:rPr>
                <w:rFonts w:eastAsia="仿宋_GB2312"/>
                <w:snapToGrid w:val="0"/>
                <w:kern w:val="0"/>
                <w:sz w:val="24"/>
                <w:szCs w:val="24"/>
              </w:rPr>
            </w:pPr>
            <w:r>
              <w:rPr>
                <w:rFonts w:hint="eastAsia" w:eastAsia="仿宋_GB2312" w:cs="仿宋_GB2312"/>
                <w:snapToGrid w:val="0"/>
                <w:kern w:val="0"/>
                <w:sz w:val="24"/>
                <w:szCs w:val="24"/>
              </w:rPr>
              <w:t>党政领导访谈</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市纪委市监委</w:t>
            </w:r>
          </w:p>
          <w:p>
            <w:pPr>
              <w:jc w:val="center"/>
              <w:rPr>
                <w:rFonts w:eastAsia="仿宋_GB2312"/>
                <w:snapToGrid w:val="0"/>
                <w:kern w:val="0"/>
                <w:sz w:val="24"/>
                <w:szCs w:val="24"/>
              </w:rPr>
            </w:pPr>
            <w:r>
              <w:rPr>
                <w:rFonts w:hint="eastAsia" w:eastAsia="仿宋_GB2312" w:cs="仿宋_GB2312"/>
                <w:snapToGrid w:val="0"/>
                <w:kern w:val="0"/>
                <w:sz w:val="24"/>
                <w:szCs w:val="24"/>
              </w:rPr>
              <w:t>市政府食品安全办</w:t>
            </w:r>
          </w:p>
          <w:p>
            <w:pPr>
              <w:jc w:val="center"/>
              <w:rPr>
                <w:rFonts w:eastAsia="仿宋_GB2312"/>
                <w:snapToGrid w:val="0"/>
                <w:kern w:val="0"/>
                <w:sz w:val="24"/>
                <w:szCs w:val="24"/>
              </w:rPr>
            </w:pPr>
            <w:r>
              <w:rPr>
                <w:rFonts w:hint="eastAsia" w:eastAsia="仿宋_GB2312" w:cs="仿宋_GB2312"/>
                <w:snapToGrid w:val="0"/>
                <w:kern w:val="0"/>
                <w:sz w:val="24"/>
                <w:szCs w:val="24"/>
              </w:rPr>
              <w:t>市人力资源社会保障局</w:t>
            </w:r>
          </w:p>
          <w:p>
            <w:pPr>
              <w:jc w:val="center"/>
              <w:rPr>
                <w:rFonts w:eastAsia="仿宋_GB2312"/>
                <w:snapToGrid w:val="0"/>
                <w:kern w:val="0"/>
                <w:sz w:val="24"/>
                <w:szCs w:val="24"/>
              </w:rPr>
            </w:pPr>
          </w:p>
        </w:tc>
        <w:tc>
          <w:tcPr>
            <w:tcW w:w="3450" w:type="dxa"/>
            <w:vAlign w:val="center"/>
          </w:tcPr>
          <w:p>
            <w:pPr>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2.</w:t>
            </w:r>
            <w:r>
              <w:rPr>
                <w:rFonts w:hint="eastAsia" w:eastAsia="仿宋_GB2312" w:cs="仿宋_GB2312"/>
                <w:snapToGrid w:val="0"/>
                <w:kern w:val="0"/>
                <w:sz w:val="24"/>
                <w:szCs w:val="24"/>
              </w:rPr>
              <w:t>工作机制</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4</w:t>
            </w:r>
            <w:r>
              <w:rPr>
                <w:rFonts w:hint="eastAsia" w:eastAsia="仿宋_GB2312" w:cs="仿宋_GB2312"/>
                <w:snapToGrid w:val="0"/>
                <w:kern w:val="0"/>
                <w:sz w:val="24"/>
                <w:szCs w:val="24"/>
              </w:rPr>
              <w:t>）加强食品安全委员会及其办公室建设，食品安全办综合协调作用有效发挥。</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党政领导访谈</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市政府食品安全办</w:t>
            </w:r>
          </w:p>
        </w:tc>
        <w:tc>
          <w:tcPr>
            <w:tcW w:w="3450" w:type="dxa"/>
            <w:vAlign w:val="center"/>
          </w:tcPr>
          <w:p>
            <w:pPr>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w:t>
            </w:r>
            <w:r>
              <w:rPr>
                <w:rFonts w:hint="eastAsia" w:eastAsia="仿宋_GB2312" w:cs="仿宋_GB2312"/>
                <w:snapToGrid w:val="0"/>
                <w:kern w:val="0"/>
                <w:sz w:val="24"/>
                <w:szCs w:val="24"/>
              </w:rPr>
              <w:t>）食品安全委员会成员单位信息通报、形势会商、风险交流等工作机制健全并有效运行。</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党政领导访谈</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市政府食品安全办</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6</w:t>
            </w:r>
            <w:r>
              <w:rPr>
                <w:rFonts w:hint="eastAsia" w:eastAsia="仿宋_GB2312" w:cs="仿宋_GB2312"/>
                <w:snapToGrid w:val="0"/>
                <w:kern w:val="0"/>
                <w:sz w:val="24"/>
                <w:szCs w:val="24"/>
              </w:rPr>
              <w:t>）建立健全食品安全示范城市创建工作机制，有力有序有效推进示范创建工作。</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党政领导访谈</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市政府食品安全办</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890" w:type="dxa"/>
            <w:vAlign w:val="center"/>
          </w:tcPr>
          <w:p>
            <w:pPr>
              <w:jc w:val="center"/>
              <w:rPr>
                <w:rFonts w:eastAsia="仿宋_GB2312"/>
                <w:snapToGrid w:val="0"/>
                <w:kern w:val="0"/>
                <w:sz w:val="24"/>
                <w:szCs w:val="24"/>
              </w:rPr>
            </w:pPr>
            <w:r>
              <w:rPr>
                <w:rFonts w:eastAsia="仿宋_GB2312"/>
                <w:snapToGrid w:val="0"/>
                <w:kern w:val="0"/>
                <w:sz w:val="24"/>
                <w:szCs w:val="24"/>
              </w:rPr>
              <w:t>3.</w:t>
            </w:r>
            <w:r>
              <w:rPr>
                <w:rFonts w:hint="eastAsia" w:eastAsia="仿宋_GB2312" w:cs="仿宋_GB2312"/>
                <w:snapToGrid w:val="0"/>
                <w:kern w:val="0"/>
                <w:sz w:val="24"/>
                <w:szCs w:val="24"/>
              </w:rPr>
              <w:t>法规制度</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7</w:t>
            </w:r>
            <w:r>
              <w:rPr>
                <w:rFonts w:hint="eastAsia" w:eastAsia="仿宋_GB2312" w:cs="仿宋_GB2312"/>
                <w:snapToGrid w:val="0"/>
                <w:kern w:val="0"/>
                <w:sz w:val="24"/>
                <w:szCs w:val="24"/>
              </w:rPr>
              <w:t>）落实党中央、国务院关于食品安全工作的决策部署，配套出台本地食品安全相关规章制度，法规制度健全。</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党政领导访谈</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市食品安全委员会各成员单位，各县（市、区）人民政府、曲靖经开区管委会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4.</w:t>
            </w:r>
            <w:r>
              <w:rPr>
                <w:rFonts w:hint="eastAsia" w:eastAsia="仿宋_GB2312" w:cs="仿宋_GB2312"/>
                <w:snapToGrid w:val="0"/>
                <w:kern w:val="0"/>
                <w:sz w:val="24"/>
                <w:szCs w:val="24"/>
              </w:rPr>
              <w:t>风险监测</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8</w:t>
            </w:r>
            <w:r>
              <w:rPr>
                <w:rFonts w:hint="eastAsia" w:eastAsia="仿宋_GB2312" w:cs="仿宋_GB2312"/>
                <w:snapToGrid w:val="0"/>
                <w:kern w:val="0"/>
                <w:sz w:val="24"/>
                <w:szCs w:val="24"/>
              </w:rPr>
              <w:t>）食品安全风险监测结果通报、会商、报告机制健全并有效运行。</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市卫生健康委</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市市场监管局、市农业农村局，各县（市、区）人民政府、曲靖经开区管委会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9</w:t>
            </w:r>
            <w:r>
              <w:rPr>
                <w:rFonts w:hint="eastAsia" w:eastAsia="仿宋_GB2312" w:cs="仿宋_GB2312"/>
                <w:snapToGrid w:val="0"/>
                <w:kern w:val="0"/>
                <w:sz w:val="24"/>
                <w:szCs w:val="24"/>
              </w:rPr>
              <w:t>）食品污染物和有害因素监测网络覆盖全部县级行政区域。</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市卫生健康委</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10</w:t>
            </w:r>
            <w:r>
              <w:rPr>
                <w:rFonts w:hint="eastAsia" w:eastAsia="仿宋_GB2312" w:cs="仿宋_GB2312"/>
                <w:snapToGrid w:val="0"/>
                <w:kern w:val="0"/>
                <w:sz w:val="24"/>
                <w:szCs w:val="24"/>
              </w:rPr>
              <w:t>）食源性疾病监测医疗机构及时报送食源性疾病事件和病例。</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资料审查</w:t>
            </w:r>
          </w:p>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市卫生健康委</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5.</w:t>
            </w:r>
            <w:r>
              <w:rPr>
                <w:rFonts w:hint="eastAsia" w:eastAsia="仿宋_GB2312" w:cs="仿宋_GB2312"/>
                <w:snapToGrid w:val="0"/>
                <w:kern w:val="0"/>
                <w:sz w:val="24"/>
                <w:szCs w:val="24"/>
              </w:rPr>
              <w:t>源头治理</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11</w:t>
            </w:r>
            <w:r>
              <w:rPr>
                <w:rFonts w:hint="eastAsia" w:eastAsia="仿宋_GB2312" w:cs="仿宋_GB2312"/>
                <w:snapToGrid w:val="0"/>
                <w:kern w:val="0"/>
                <w:sz w:val="24"/>
                <w:szCs w:val="24"/>
              </w:rPr>
              <w:t>）全面推行耕地分类管理，在安全利用类耕地落实品种替代、水肥调控、土壤调理等农艺措施；在严格管控类耕地落实种植结构调整等措施。</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资料审查</w:t>
            </w:r>
          </w:p>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市农业农村局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12</w:t>
            </w:r>
            <w:r>
              <w:rPr>
                <w:rFonts w:hint="eastAsia" w:eastAsia="仿宋_GB2312" w:cs="仿宋_GB2312"/>
                <w:snapToGrid w:val="0"/>
                <w:kern w:val="0"/>
                <w:sz w:val="24"/>
                <w:szCs w:val="24"/>
              </w:rPr>
              <w:t>）禁止污水灌溉，严禁将城镇生活垃圾、污泥、工业废物直接用作肥料。</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市农业农村局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市水务局、市生态环境局、市城市管理局，各县（市、区）人民政府、曲靖经开区管委会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13</w:t>
            </w:r>
            <w:r>
              <w:rPr>
                <w:rFonts w:hint="eastAsia" w:eastAsia="仿宋_GB2312" w:cs="仿宋_GB2312"/>
                <w:snapToGrid w:val="0"/>
                <w:kern w:val="0"/>
                <w:sz w:val="24"/>
                <w:szCs w:val="24"/>
              </w:rPr>
              <w:t>）严禁使用国家明令禁止的农业投入品，严格落实定点经营、实名购买和使用记录等制度。</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市农业农村局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14</w:t>
            </w:r>
            <w:r>
              <w:rPr>
                <w:rFonts w:hint="eastAsia" w:eastAsia="仿宋_GB2312" w:cs="仿宋_GB2312"/>
                <w:snapToGrid w:val="0"/>
                <w:kern w:val="0"/>
                <w:sz w:val="24"/>
                <w:szCs w:val="24"/>
              </w:rPr>
              <w:t>）按照要求做好高毒高残留高风险农药淘汰工作。</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市农业农村局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15</w:t>
            </w:r>
            <w:r>
              <w:rPr>
                <w:rFonts w:hint="eastAsia" w:eastAsia="仿宋_GB2312" w:cs="仿宋_GB2312"/>
                <w:snapToGrid w:val="0"/>
                <w:kern w:val="0"/>
                <w:sz w:val="24"/>
                <w:szCs w:val="24"/>
              </w:rPr>
              <w:t>）严格执行生猪定点屠宰制度，加强牛羊等其他畜禽的屠宰管理，按法律法规要求出厂入市。</w:t>
            </w:r>
            <w:r>
              <w:rPr>
                <w:snapToGrid w:val="0"/>
                <w:kern w:val="0"/>
              </w:rPr>
              <mc:AlternateContent>
                <mc:Choice Requires="wps">
                  <w:drawing>
                    <wp:anchor distT="0" distB="0" distL="114300" distR="114300" simplePos="0" relativeHeight="251667456" behindDoc="0" locked="0" layoutInCell="1" allowOverlap="1">
                      <wp:simplePos x="0" y="0"/>
                      <wp:positionH relativeFrom="column">
                        <wp:posOffset>-1880235</wp:posOffset>
                      </wp:positionH>
                      <wp:positionV relativeFrom="paragraph">
                        <wp:posOffset>365125</wp:posOffset>
                      </wp:positionV>
                      <wp:extent cx="769620" cy="347345"/>
                      <wp:effectExtent l="211455" t="0" r="0" b="0"/>
                      <wp:wrapNone/>
                      <wp:docPr id="8" name="文本框 14"/>
                      <wp:cNvGraphicFramePr/>
                      <a:graphic xmlns:a="http://schemas.openxmlformats.org/drawingml/2006/main">
                        <a:graphicData uri="http://schemas.microsoft.com/office/word/2010/wordprocessingShape">
                          <wps:wsp>
                            <wps:cNvSpPr txBox="1"/>
                            <wps:spPr>
                              <a:xfrm rot="5400000">
                                <a:off x="0" y="0"/>
                                <a:ext cx="769620" cy="347345"/>
                              </a:xfrm>
                              <a:prstGeom prst="rect">
                                <a:avLst/>
                              </a:prstGeom>
                              <a:noFill/>
                              <a:ln w="6350">
                                <a:noFill/>
                              </a:ln>
                            </wps:spPr>
                            <wps:txbx>
                              <w:txbxContent>
                                <w:p>
                                  <w:pPr>
                                    <w:rPr>
                                      <w:sz w:val="28"/>
                                      <w:szCs w:val="28"/>
                                    </w:rPr>
                                  </w:pPr>
                                  <w:r>
                                    <w:rPr>
                                      <w:sz w:val="28"/>
                                      <w:szCs w:val="28"/>
                                    </w:rPr>
                                    <w:t>—15—</w:t>
                                  </w:r>
                                </w:p>
                              </w:txbxContent>
                            </wps:txbx>
                            <wps:bodyPr vert="eaVert" upright="1"/>
                          </wps:wsp>
                        </a:graphicData>
                      </a:graphic>
                    </wp:anchor>
                  </w:drawing>
                </mc:Choice>
                <mc:Fallback>
                  <w:pict>
                    <v:shape id="文本框 14" o:spid="_x0000_s1026" o:spt="202" type="#_x0000_t202" style="position:absolute;left:0pt;margin-left:-148.05pt;margin-top:28.75pt;height:27.35pt;width:60.6pt;rotation:5898240f;z-index:251667456;mso-width-relative:page;mso-height-relative:page;" filled="f" stroked="f" coordsize="21600,21600" o:gfxdata="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SkucHb&#10;AAAADAEAAA8AAAAAAAAAAQAgAAAAIgAAAGRycy9kb3ducmV2LnhtbFBLAQIUABQAAAAIAIdO4kDK&#10;ePCBqwEAACUDAAAOAAAAAAAAAAEAIAAAACoBAABkcnMvZTJvRG9jLnhtbFBLBQYAAAAABgAGAFkB&#10;AABHBQAAAAA=&#10;">
                      <v:fill on="f" focussize="0,0"/>
                      <v:stroke on="f" weight="0.5pt"/>
                      <v:imagedata o:title=""/>
                      <o:lock v:ext="edit" aspectratio="f"/>
                      <v:textbox style="layout-flow:vertical-ideographic;">
                        <w:txbxContent>
                          <w:p>
                            <w:pPr>
                              <w:rPr>
                                <w:sz w:val="28"/>
                                <w:szCs w:val="28"/>
                              </w:rPr>
                            </w:pPr>
                            <w:r>
                              <w:rPr>
                                <w:sz w:val="28"/>
                                <w:szCs w:val="28"/>
                              </w:rPr>
                              <w:t>—15—</w:t>
                            </w:r>
                          </w:p>
                        </w:txbxContent>
                      </v:textbox>
                    </v:shape>
                  </w:pict>
                </mc:Fallback>
              </mc:AlternateConten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资料审查</w:t>
            </w:r>
          </w:p>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市农业农村局</w:t>
            </w:r>
          </w:p>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市商务局，各县（市、区）人民政府、曲靖经开区管委会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16</w:t>
            </w:r>
            <w:r>
              <w:rPr>
                <w:rFonts w:hint="eastAsia" w:eastAsia="仿宋_GB2312" w:cs="仿宋_GB2312"/>
                <w:snapToGrid w:val="0"/>
                <w:kern w:val="0"/>
                <w:sz w:val="24"/>
                <w:szCs w:val="24"/>
              </w:rPr>
              <w:t>）健全制度机制，实行病死动物及畜禽屠宰废弃物无害化处理。</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市农业农村局</w:t>
            </w:r>
          </w:p>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市生态环境局、市公安局，各县（市、区）人民政府、曲靖经开区管委会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6.</w:t>
            </w:r>
            <w:r>
              <w:rPr>
                <w:rFonts w:hint="eastAsia" w:eastAsia="仿宋_GB2312" w:cs="仿宋_GB2312"/>
                <w:snapToGrid w:val="0"/>
                <w:kern w:val="0"/>
                <w:sz w:val="24"/>
                <w:szCs w:val="24"/>
              </w:rPr>
              <w:t>粮食质量</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17</w:t>
            </w:r>
            <w:r>
              <w:rPr>
                <w:rFonts w:hint="eastAsia" w:eastAsia="仿宋_GB2312" w:cs="仿宋_GB2312"/>
                <w:snapToGrid w:val="0"/>
                <w:kern w:val="0"/>
                <w:sz w:val="24"/>
                <w:szCs w:val="24"/>
              </w:rPr>
              <w:t>）严格执行国家粮食质量标准和食品安全标准，严把粮食收购、储存、销售出库质量安全关。</w:t>
            </w:r>
            <w:r>
              <w:rPr>
                <w:snapToGrid w:val="0"/>
                <w:kern w:val="0"/>
              </w:rPr>
              <mc:AlternateContent>
                <mc:Choice Requires="wps">
                  <w:drawing>
                    <wp:anchor distT="0" distB="0" distL="114300" distR="114300" simplePos="0" relativeHeight="251668480" behindDoc="0" locked="0" layoutInCell="1" allowOverlap="1">
                      <wp:simplePos x="0" y="0"/>
                      <wp:positionH relativeFrom="column">
                        <wp:posOffset>-1838960</wp:posOffset>
                      </wp:positionH>
                      <wp:positionV relativeFrom="paragraph">
                        <wp:posOffset>-831215</wp:posOffset>
                      </wp:positionV>
                      <wp:extent cx="769620" cy="347345"/>
                      <wp:effectExtent l="211455" t="0" r="0" b="0"/>
                      <wp:wrapNone/>
                      <wp:docPr id="7" name="文本框 4"/>
                      <wp:cNvGraphicFramePr/>
                      <a:graphic xmlns:a="http://schemas.openxmlformats.org/drawingml/2006/main">
                        <a:graphicData uri="http://schemas.microsoft.com/office/word/2010/wordprocessingShape">
                          <wps:wsp>
                            <wps:cNvSpPr txBox="1"/>
                            <wps:spPr>
                              <a:xfrm rot="5400000">
                                <a:off x="0" y="0"/>
                                <a:ext cx="769620" cy="347345"/>
                              </a:xfrm>
                              <a:prstGeom prst="rect">
                                <a:avLst/>
                              </a:prstGeom>
                              <a:noFill/>
                              <a:ln w="6350">
                                <a:noFill/>
                              </a:ln>
                            </wps:spPr>
                            <wps:txbx>
                              <w:txbxContent>
                                <w:p>
                                  <w:pPr>
                                    <w:rPr>
                                      <w:sz w:val="28"/>
                                      <w:szCs w:val="28"/>
                                    </w:rPr>
                                  </w:pPr>
                                  <w:r>
                                    <w:rPr>
                                      <w:sz w:val="28"/>
                                      <w:szCs w:val="28"/>
                                    </w:rPr>
                                    <w:t>—16—</w:t>
                                  </w:r>
                                </w:p>
                              </w:txbxContent>
                            </wps:txbx>
                            <wps:bodyPr vert="eaVert" upright="1"/>
                          </wps:wsp>
                        </a:graphicData>
                      </a:graphic>
                    </wp:anchor>
                  </w:drawing>
                </mc:Choice>
                <mc:Fallback>
                  <w:pict>
                    <v:shape id="文本框 4" o:spid="_x0000_s1026" o:spt="202" type="#_x0000_t202" style="position:absolute;left:0pt;margin-left:-144.8pt;margin-top:-65.45pt;height:27.35pt;width:60.6pt;rotation:5898240f;z-index:251668480;mso-width-relative:page;mso-height-relative:page;" filled="f" stroked="f" coordsize="21600,21600" o:gfxdata="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Lmk&#10;3AAAAA4BAAAPAAAAAAAAAAEAIAAAACIAAABkcnMvZG93bnJldi54bWxQSwECFAAUAAAACACHTuJA&#10;xrL01KsBAAAkAwAADgAAAAAAAAABACAAAAArAQAAZHJzL2Uyb0RvYy54bWxQSwUGAAAAAAYABgBZ&#10;AQAASAUAAAAA&#10;">
                      <v:fill on="f" focussize="0,0"/>
                      <v:stroke on="f" weight="0.5pt"/>
                      <v:imagedata o:title=""/>
                      <o:lock v:ext="edit" aspectratio="f"/>
                      <v:textbox style="layout-flow:vertical-ideographic;">
                        <w:txbxContent>
                          <w:p>
                            <w:pPr>
                              <w:rPr>
                                <w:sz w:val="28"/>
                                <w:szCs w:val="28"/>
                              </w:rPr>
                            </w:pPr>
                            <w:r>
                              <w:rPr>
                                <w:sz w:val="28"/>
                                <w:szCs w:val="28"/>
                              </w:rPr>
                              <w:t>—16—</w:t>
                            </w:r>
                          </w:p>
                        </w:txbxContent>
                      </v:textbox>
                    </v:shape>
                  </w:pict>
                </mc:Fallback>
              </mc:AlternateConten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市发展改革委</w:t>
            </w:r>
          </w:p>
        </w:tc>
        <w:tc>
          <w:tcPr>
            <w:tcW w:w="3450" w:type="dxa"/>
            <w:vAlign w:val="center"/>
          </w:tcPr>
          <w:p>
            <w:pPr>
              <w:snapToGrid w:val="0"/>
              <w:rPr>
                <w:rFonts w:eastAsia="仿宋_GB2312"/>
                <w:snapToGrid w:val="0"/>
                <w:kern w:val="0"/>
                <w:sz w:val="24"/>
                <w:szCs w:val="24"/>
              </w:rPr>
            </w:pPr>
          </w:p>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18</w:t>
            </w:r>
            <w:r>
              <w:rPr>
                <w:rFonts w:hint="eastAsia" w:eastAsia="仿宋_GB2312" w:cs="仿宋_GB2312"/>
                <w:snapToGrid w:val="0"/>
                <w:kern w:val="0"/>
                <w:sz w:val="24"/>
                <w:szCs w:val="24"/>
              </w:rPr>
              <w:t>）建立超标粮食处置长效机制，对不符合食品安全标准的粮食实施定点收购、分类储存、定向销售、闭环处置，不得作为食用用途销售。</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市发展改革委</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市财政局、市农业农村局、市市场监管局，各县（市、区）人民政府、曲靖经开区管委会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19</w:t>
            </w:r>
            <w:r>
              <w:rPr>
                <w:rFonts w:hint="eastAsia" w:eastAsia="仿宋_GB2312" w:cs="仿宋_GB2312"/>
                <w:snapToGrid w:val="0"/>
                <w:kern w:val="0"/>
                <w:sz w:val="24"/>
                <w:szCs w:val="24"/>
              </w:rPr>
              <w:t>）按要求开展粮食质量安全检验监测工作，库存粮食质量监测覆盖比例不低于库存数量的</w:t>
            </w:r>
            <w:r>
              <w:rPr>
                <w:rFonts w:eastAsia="仿宋_GB2312"/>
                <w:snapToGrid w:val="0"/>
                <w:kern w:val="0"/>
                <w:sz w:val="24"/>
                <w:szCs w:val="24"/>
              </w:rPr>
              <w:t>25%</w:t>
            </w:r>
            <w:r>
              <w:rPr>
                <w:rFonts w:hint="eastAsia" w:eastAsia="仿宋_GB2312" w:cs="仿宋_GB2312"/>
                <w:snapToGrid w:val="0"/>
                <w:kern w:val="0"/>
                <w:sz w:val="24"/>
                <w:szCs w:val="24"/>
              </w:rPr>
              <w:t>，库存粮食监测发现问题处置率达到</w:t>
            </w:r>
            <w:r>
              <w:rPr>
                <w:rFonts w:eastAsia="仿宋_GB2312"/>
                <w:snapToGrid w:val="0"/>
                <w:kern w:val="0"/>
                <w:sz w:val="24"/>
                <w:szCs w:val="24"/>
              </w:rPr>
              <w:t>100%</w:t>
            </w:r>
            <w:r>
              <w:rPr>
                <w:rFonts w:hint="eastAsia" w:eastAsia="仿宋_GB2312" w:cs="仿宋_GB2312"/>
                <w:snapToGrid w:val="0"/>
                <w:kern w:val="0"/>
                <w:sz w:val="24"/>
                <w:szCs w:val="24"/>
              </w:rPr>
              <w:t>。</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市发展改革委</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市农业农村局、市市场监管局，各县（市、区）人民政府、曲靖经开区管委会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20</w:t>
            </w:r>
            <w:r>
              <w:rPr>
                <w:rFonts w:hint="eastAsia" w:eastAsia="仿宋_GB2312" w:cs="仿宋_GB2312"/>
                <w:snapToGrid w:val="0"/>
                <w:kern w:val="0"/>
                <w:sz w:val="24"/>
                <w:szCs w:val="24"/>
              </w:rPr>
              <w:t>）粮食烘干服务设施满足需要。</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市发展改革委</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7.</w:t>
            </w:r>
            <w:r>
              <w:rPr>
                <w:rFonts w:hint="eastAsia" w:eastAsia="仿宋_GB2312" w:cs="仿宋_GB2312"/>
                <w:snapToGrid w:val="0"/>
                <w:kern w:val="0"/>
                <w:sz w:val="24"/>
                <w:szCs w:val="24"/>
              </w:rPr>
              <w:t>过程监管</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21</w:t>
            </w:r>
            <w:r>
              <w:rPr>
                <w:rFonts w:hint="eastAsia" w:eastAsia="仿宋_GB2312" w:cs="仿宋_GB2312"/>
                <w:snapToGrid w:val="0"/>
                <w:kern w:val="0"/>
                <w:sz w:val="24"/>
                <w:szCs w:val="24"/>
              </w:rPr>
              <w:t>）对食品生产经营者全面实行食品安全风险分级动态管理。在日常监督检查全覆盖基础上，对一般风险生产企业实施按比例</w:t>
            </w:r>
            <w:r>
              <w:rPr>
                <w:rFonts w:hint="eastAsia" w:eastAsia="仿宋_GB2312"/>
                <w:snapToGrid w:val="0"/>
                <w:kern w:val="0"/>
                <w:sz w:val="24"/>
                <w:szCs w:val="24"/>
                <w:lang w:val="en" w:eastAsia="zh-CN"/>
              </w:rPr>
              <w:t>“</w:t>
            </w:r>
            <w:r>
              <w:rPr>
                <w:rFonts w:hint="eastAsia" w:eastAsia="仿宋_GB2312" w:cs="仿宋_GB2312"/>
                <w:snapToGrid w:val="0"/>
                <w:kern w:val="0"/>
                <w:sz w:val="24"/>
                <w:szCs w:val="24"/>
              </w:rPr>
              <w:t>双随机</w:t>
            </w:r>
            <w:r>
              <w:rPr>
                <w:rFonts w:hint="eastAsia" w:eastAsia="仿宋_GB2312"/>
                <w:snapToGrid w:val="0"/>
                <w:kern w:val="0"/>
                <w:sz w:val="24"/>
                <w:szCs w:val="24"/>
                <w:lang w:eastAsia="zh-CN"/>
              </w:rPr>
              <w:t>”</w:t>
            </w:r>
            <w:r>
              <w:rPr>
                <w:rFonts w:hint="eastAsia" w:eastAsia="仿宋_GB2312" w:cs="仿宋_GB2312"/>
                <w:snapToGrid w:val="0"/>
                <w:kern w:val="0"/>
                <w:sz w:val="24"/>
                <w:szCs w:val="24"/>
              </w:rPr>
              <w:t>抽查，对高风险企业实施重点检查，对问题线索企业实施飞行检查，督促企业生产经营过程持续合规。</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市工业和信息化局、市商务局，各县（市、区）人民政府、曲靖经开区管委会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22</w:t>
            </w:r>
            <w:r>
              <w:rPr>
                <w:rFonts w:hint="eastAsia" w:eastAsia="仿宋_GB2312" w:cs="仿宋_GB2312"/>
                <w:snapToGrid w:val="0"/>
                <w:kern w:val="0"/>
                <w:sz w:val="24"/>
                <w:szCs w:val="24"/>
              </w:rPr>
              <w:t>）持续加大乳制品、肉制品、白酒、食用植物油等大型食品生产企业风险防控力度。</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市工业和信息化局，各县（市、区）人民政府、曲靖经开区管委会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23</w:t>
            </w:r>
            <w:r>
              <w:rPr>
                <w:rFonts w:hint="eastAsia" w:eastAsia="仿宋_GB2312" w:cs="仿宋_GB2312"/>
                <w:snapToGrid w:val="0"/>
                <w:kern w:val="0"/>
                <w:sz w:val="24"/>
                <w:szCs w:val="24"/>
              </w:rPr>
              <w:t>）实施食品相关产品生产许可告知承诺。</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24</w:t>
            </w:r>
            <w:r>
              <w:rPr>
                <w:rFonts w:hint="eastAsia" w:eastAsia="仿宋_GB2312" w:cs="仿宋_GB2312"/>
                <w:snapToGrid w:val="0"/>
                <w:kern w:val="0"/>
                <w:sz w:val="24"/>
                <w:szCs w:val="24"/>
              </w:rPr>
              <w:t>）婴幼儿配方乳粉、特殊医学用途配方食品生产企业体系检查年度覆盖率达到</w:t>
            </w:r>
            <w:r>
              <w:rPr>
                <w:rFonts w:eastAsia="仿宋_GB2312"/>
                <w:snapToGrid w:val="0"/>
                <w:kern w:val="0"/>
                <w:sz w:val="24"/>
                <w:szCs w:val="24"/>
              </w:rPr>
              <w:t>100%</w:t>
            </w:r>
            <w:r>
              <w:rPr>
                <w:rFonts w:hint="eastAsia" w:eastAsia="仿宋_GB2312" w:cs="仿宋_GB2312"/>
                <w:snapToGrid w:val="0"/>
                <w:kern w:val="0"/>
                <w:sz w:val="24"/>
                <w:szCs w:val="24"/>
              </w:rPr>
              <w:t>，体系检查问题整改率达到</w:t>
            </w:r>
            <w:r>
              <w:rPr>
                <w:rFonts w:eastAsia="仿宋_GB2312"/>
                <w:snapToGrid w:val="0"/>
                <w:kern w:val="0"/>
                <w:sz w:val="24"/>
                <w:szCs w:val="24"/>
              </w:rPr>
              <w:t>100%</w:t>
            </w:r>
            <w:r>
              <w:rPr>
                <w:rFonts w:hint="eastAsia" w:eastAsia="仿宋_GB2312" w:cs="仿宋_GB2312"/>
                <w:snapToGrid w:val="0"/>
                <w:kern w:val="0"/>
                <w:sz w:val="24"/>
                <w:szCs w:val="24"/>
              </w:rPr>
              <w:t>。</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市市场监管局，各县（市、区）人民政府、曲靖经开区管委会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25</w:t>
            </w:r>
            <w:r>
              <w:rPr>
                <w:rFonts w:hint="eastAsia" w:eastAsia="仿宋_GB2312" w:cs="仿宋_GB2312"/>
                <w:snapToGrid w:val="0"/>
                <w:kern w:val="0"/>
                <w:sz w:val="24"/>
                <w:szCs w:val="24"/>
              </w:rPr>
              <w:t>）保健食品生产企业体系检查年度覆盖率达到辖区内保健食品生产企业总数的</w:t>
            </w:r>
            <w:r>
              <w:rPr>
                <w:rFonts w:eastAsia="仿宋_GB2312"/>
                <w:snapToGrid w:val="0"/>
                <w:kern w:val="0"/>
                <w:sz w:val="24"/>
                <w:szCs w:val="24"/>
              </w:rPr>
              <w:t>20%</w:t>
            </w:r>
            <w:r>
              <w:rPr>
                <w:rFonts w:hint="eastAsia" w:eastAsia="仿宋_GB2312" w:cs="仿宋_GB2312"/>
                <w:snapToGrid w:val="0"/>
                <w:kern w:val="0"/>
                <w:sz w:val="24"/>
                <w:szCs w:val="24"/>
              </w:rPr>
              <w:t>以上，体系检查问题整改率达到</w:t>
            </w:r>
            <w:r>
              <w:rPr>
                <w:rFonts w:eastAsia="仿宋_GB2312"/>
                <w:snapToGrid w:val="0"/>
                <w:kern w:val="0"/>
                <w:sz w:val="24"/>
                <w:szCs w:val="24"/>
              </w:rPr>
              <w:t>100%</w:t>
            </w:r>
            <w:r>
              <w:rPr>
                <w:rFonts w:hint="eastAsia" w:eastAsia="仿宋_GB2312" w:cs="仿宋_GB2312"/>
                <w:snapToGrid w:val="0"/>
                <w:kern w:val="0"/>
                <w:sz w:val="24"/>
                <w:szCs w:val="24"/>
              </w:rPr>
              <w:t>。</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市市场监管局，各县（市、区）人民政府、曲靖经开区管委会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26</w:t>
            </w:r>
            <w:r>
              <w:rPr>
                <w:rFonts w:hint="eastAsia" w:eastAsia="仿宋_GB2312" w:cs="仿宋_GB2312"/>
                <w:snapToGrid w:val="0"/>
                <w:kern w:val="0"/>
                <w:sz w:val="24"/>
                <w:szCs w:val="24"/>
              </w:rPr>
              <w:t>）实行校园食品安全校长（园长）负责制和学校相关负责人陪餐制。</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市教育体育局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27</w:t>
            </w:r>
            <w:r>
              <w:rPr>
                <w:rFonts w:hint="eastAsia" w:eastAsia="仿宋_GB2312" w:cs="仿宋_GB2312"/>
                <w:snapToGrid w:val="0"/>
                <w:kern w:val="0"/>
                <w:sz w:val="24"/>
                <w:szCs w:val="24"/>
              </w:rPr>
              <w:t>）校园食品安全春秋两季开学检查覆盖率达到</w:t>
            </w:r>
            <w:r>
              <w:rPr>
                <w:rFonts w:eastAsia="仿宋_GB2312"/>
                <w:snapToGrid w:val="0"/>
                <w:kern w:val="0"/>
                <w:sz w:val="24"/>
                <w:szCs w:val="24"/>
              </w:rPr>
              <w:t>100%</w:t>
            </w:r>
            <w:r>
              <w:rPr>
                <w:rFonts w:hint="eastAsia" w:eastAsia="仿宋_GB2312" w:cs="仿宋_GB2312"/>
                <w:snapToGrid w:val="0"/>
                <w:kern w:val="0"/>
                <w:sz w:val="24"/>
                <w:szCs w:val="24"/>
              </w:rPr>
              <w:t>。</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市教育体育局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市市场监管局，各县（市、区）人民政府、曲靖经开区管委会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28</w:t>
            </w:r>
            <w:r>
              <w:rPr>
                <w:rFonts w:hint="eastAsia" w:eastAsia="仿宋_GB2312" w:cs="仿宋_GB2312"/>
                <w:snapToGrid w:val="0"/>
                <w:kern w:val="0"/>
                <w:sz w:val="24"/>
                <w:szCs w:val="24"/>
              </w:rPr>
              <w:t>）严格执行关于全面禁止非法野生动物交易、长江流域禁捕、反食品浪费等有关规定。</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市林草局</w:t>
            </w:r>
          </w:p>
          <w:p>
            <w:pPr>
              <w:jc w:val="center"/>
              <w:rPr>
                <w:rFonts w:eastAsia="仿宋_GB2312"/>
                <w:snapToGrid w:val="0"/>
                <w:kern w:val="0"/>
                <w:sz w:val="24"/>
                <w:szCs w:val="24"/>
              </w:rPr>
            </w:pPr>
            <w:r>
              <w:rPr>
                <w:rFonts w:hint="eastAsia" w:eastAsia="仿宋_GB2312" w:cs="仿宋_GB2312"/>
                <w:snapToGrid w:val="0"/>
                <w:kern w:val="0"/>
                <w:sz w:val="24"/>
                <w:szCs w:val="24"/>
              </w:rPr>
              <w:t>市农业农村局</w:t>
            </w:r>
          </w:p>
          <w:p>
            <w:pPr>
              <w:jc w:val="center"/>
              <w:rPr>
                <w:rFonts w:eastAsia="仿宋_GB2312"/>
                <w:snapToGrid w:val="0"/>
                <w:kern w:val="0"/>
                <w:sz w:val="24"/>
                <w:szCs w:val="24"/>
              </w:rPr>
            </w:pPr>
            <w:r>
              <w:rPr>
                <w:rFonts w:hint="eastAsia" w:eastAsia="仿宋_GB2312" w:cs="仿宋_GB2312"/>
                <w:snapToGrid w:val="0"/>
                <w:kern w:val="0"/>
                <w:sz w:val="24"/>
                <w:szCs w:val="24"/>
              </w:rPr>
              <w:t>市发展改革委</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市公安局、市市场监管局、市商务局、市民政局等市直有关部门，各县（市、区）人民政府、曲靖经开区管委会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8.</w:t>
            </w:r>
            <w:r>
              <w:rPr>
                <w:rFonts w:hint="eastAsia" w:eastAsia="仿宋_GB2312" w:cs="仿宋_GB2312"/>
                <w:snapToGrid w:val="0"/>
                <w:kern w:val="0"/>
                <w:sz w:val="24"/>
                <w:szCs w:val="24"/>
              </w:rPr>
              <w:t>食品抽检</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w:t>
            </w:r>
            <w:r>
              <w:rPr>
                <w:rFonts w:hint="eastAsia" w:eastAsia="仿宋_GB2312" w:cs="仿宋_GB2312"/>
                <w:snapToGrid w:val="0"/>
                <w:kern w:val="0"/>
                <w:sz w:val="24"/>
                <w:szCs w:val="24"/>
              </w:rPr>
              <w:t>分）</w:t>
            </w:r>
          </w:p>
        </w:tc>
        <w:tc>
          <w:tcPr>
            <w:tcW w:w="4769" w:type="dxa"/>
            <w:vAlign w:val="center"/>
          </w:tcPr>
          <w:p>
            <w:pP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29</w:t>
            </w:r>
            <w:r>
              <w:rPr>
                <w:rFonts w:hint="eastAsia" w:eastAsia="仿宋_GB2312" w:cs="仿宋_GB2312"/>
                <w:snapToGrid w:val="0"/>
                <w:kern w:val="0"/>
                <w:sz w:val="24"/>
                <w:szCs w:val="24"/>
              </w:rPr>
              <w:t>）按计划要求均衡推进完成食品抽检任务。监督抽检计划和评价性抽检计划完成率均达到</w:t>
            </w:r>
            <w:r>
              <w:rPr>
                <w:rFonts w:eastAsia="仿宋_GB2312"/>
                <w:snapToGrid w:val="0"/>
                <w:kern w:val="0"/>
                <w:sz w:val="24"/>
                <w:szCs w:val="24"/>
              </w:rPr>
              <w:t>100%</w:t>
            </w:r>
            <w:r>
              <w:rPr>
                <w:rFonts w:hint="eastAsia" w:eastAsia="仿宋_GB2312" w:cs="仿宋_GB2312"/>
                <w:snapToGrid w:val="0"/>
                <w:kern w:val="0"/>
                <w:sz w:val="24"/>
                <w:szCs w:val="24"/>
              </w:rPr>
              <w:t>。抽检不合格食品核查处置完成率达到</w:t>
            </w:r>
            <w:r>
              <w:rPr>
                <w:rFonts w:eastAsia="仿宋_GB2312"/>
                <w:snapToGrid w:val="0"/>
                <w:kern w:val="0"/>
                <w:sz w:val="24"/>
                <w:szCs w:val="24"/>
              </w:rPr>
              <w:t>100%</w:t>
            </w:r>
            <w:r>
              <w:rPr>
                <w:rFonts w:hint="eastAsia" w:eastAsia="仿宋_GB2312" w:cs="仿宋_GB2312"/>
                <w:snapToGrid w:val="0"/>
                <w:kern w:val="0"/>
                <w:sz w:val="24"/>
                <w:szCs w:val="24"/>
              </w:rPr>
              <w:t>。</w:t>
            </w:r>
            <w:r>
              <w:rPr>
                <w:snapToGrid w:val="0"/>
                <w:kern w:val="0"/>
              </w:rPr>
              <mc:AlternateContent>
                <mc:Choice Requires="wps">
                  <w:drawing>
                    <wp:anchor distT="0" distB="0" distL="114300" distR="114300" simplePos="0" relativeHeight="251666432" behindDoc="0" locked="0" layoutInCell="1" allowOverlap="1">
                      <wp:simplePos x="0" y="0"/>
                      <wp:positionH relativeFrom="column">
                        <wp:posOffset>-1925320</wp:posOffset>
                      </wp:positionH>
                      <wp:positionV relativeFrom="paragraph">
                        <wp:posOffset>1040765</wp:posOffset>
                      </wp:positionV>
                      <wp:extent cx="769620" cy="347345"/>
                      <wp:effectExtent l="211455" t="0" r="0" b="0"/>
                      <wp:wrapNone/>
                      <wp:docPr id="6" name="文本框 15"/>
                      <wp:cNvGraphicFramePr/>
                      <a:graphic xmlns:a="http://schemas.openxmlformats.org/drawingml/2006/main">
                        <a:graphicData uri="http://schemas.microsoft.com/office/word/2010/wordprocessingShape">
                          <wps:wsp>
                            <wps:cNvSpPr txBox="1"/>
                            <wps:spPr>
                              <a:xfrm rot="5400000">
                                <a:off x="0" y="0"/>
                                <a:ext cx="769620" cy="347345"/>
                              </a:xfrm>
                              <a:prstGeom prst="rect">
                                <a:avLst/>
                              </a:prstGeom>
                              <a:noFill/>
                              <a:ln w="6350">
                                <a:noFill/>
                              </a:ln>
                            </wps:spPr>
                            <wps:txbx>
                              <w:txbxContent>
                                <w:p>
                                  <w:pPr>
                                    <w:rPr>
                                      <w:sz w:val="28"/>
                                      <w:szCs w:val="28"/>
                                    </w:rPr>
                                  </w:pPr>
                                  <w:r>
                                    <w:rPr>
                                      <w:sz w:val="28"/>
                                      <w:szCs w:val="28"/>
                                    </w:rPr>
                                    <w:t>—17 —</w:t>
                                  </w:r>
                                </w:p>
                              </w:txbxContent>
                            </wps:txbx>
                            <wps:bodyPr vert="eaVert" upright="1"/>
                          </wps:wsp>
                        </a:graphicData>
                      </a:graphic>
                    </wp:anchor>
                  </w:drawing>
                </mc:Choice>
                <mc:Fallback>
                  <w:pict>
                    <v:shape id="文本框 15" o:spid="_x0000_s1026" o:spt="202" type="#_x0000_t202" style="position:absolute;left:0pt;margin-left:-151.6pt;margin-top:81.95pt;height:27.35pt;width:60.6pt;rotation:5898240f;z-index:251666432;mso-width-relative:page;mso-height-relative:page;" filled="f" stroked="f" coordsize="21600,21600" o:gfxdata="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IWFnTb&#10;AAAADQEAAA8AAAAAAAAAAQAgAAAAIgAAAGRycy9kb3ducmV2LnhtbFBLAQIUABQAAAAIAIdO4kCq&#10;BKP5qwEAACUDAAAOAAAAAAAAAAEAIAAAACoBAABkcnMvZTJvRG9jLnhtbFBLBQYAAAAABgAGAFkB&#10;AABHBQAAAAA=&#10;">
                      <v:fill on="f" focussize="0,0"/>
                      <v:stroke on="f" weight="0.5pt"/>
                      <v:imagedata o:title=""/>
                      <o:lock v:ext="edit" aspectratio="f"/>
                      <v:textbox style="layout-flow:vertical-ideographic;">
                        <w:txbxContent>
                          <w:p>
                            <w:pPr>
                              <w:rPr>
                                <w:sz w:val="28"/>
                                <w:szCs w:val="28"/>
                              </w:rPr>
                            </w:pPr>
                            <w:r>
                              <w:rPr>
                                <w:sz w:val="28"/>
                                <w:szCs w:val="28"/>
                              </w:rPr>
                              <w:t>—17 —</w:t>
                            </w:r>
                          </w:p>
                        </w:txbxContent>
                      </v:textbox>
                    </v:shape>
                  </w:pict>
                </mc:Fallback>
              </mc:AlternateConten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市财政局，各县（市、区）人民政府、曲靖经开区管委会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30</w:t>
            </w:r>
            <w:r>
              <w:rPr>
                <w:rFonts w:hint="eastAsia" w:eastAsia="仿宋_GB2312" w:cs="仿宋_GB2312"/>
                <w:snapToGrid w:val="0"/>
                <w:kern w:val="0"/>
                <w:sz w:val="24"/>
                <w:szCs w:val="24"/>
              </w:rPr>
              <w:t>）食品安全各环节和业态监督抽检覆盖率达到</w:t>
            </w:r>
            <w:r>
              <w:rPr>
                <w:rFonts w:eastAsia="仿宋_GB2312"/>
                <w:snapToGrid w:val="0"/>
                <w:kern w:val="0"/>
                <w:sz w:val="24"/>
                <w:szCs w:val="24"/>
              </w:rPr>
              <w:t>100%</w:t>
            </w:r>
            <w:r>
              <w:rPr>
                <w:rFonts w:hint="eastAsia" w:eastAsia="仿宋_GB2312" w:cs="仿宋_GB2312"/>
                <w:snapToGrid w:val="0"/>
                <w:kern w:val="0"/>
                <w:sz w:val="24"/>
                <w:szCs w:val="24"/>
              </w:rPr>
              <w:t>，在产食品生产企业的监督抽检（含省级）覆盖率达到</w:t>
            </w:r>
            <w:r>
              <w:rPr>
                <w:rFonts w:eastAsia="仿宋_GB2312"/>
                <w:snapToGrid w:val="0"/>
                <w:kern w:val="0"/>
                <w:sz w:val="24"/>
                <w:szCs w:val="24"/>
              </w:rPr>
              <w:t>100%</w:t>
            </w:r>
            <w:r>
              <w:rPr>
                <w:rFonts w:hint="eastAsia" w:eastAsia="仿宋_GB2312" w:cs="仿宋_GB2312"/>
                <w:snapToGrid w:val="0"/>
                <w:kern w:val="0"/>
                <w:sz w:val="24"/>
                <w:szCs w:val="24"/>
              </w:rPr>
              <w:t>。</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rPr>
                <w:rFonts w:eastAsia="仿宋_GB2312"/>
                <w:snapToGrid w:val="0"/>
                <w:kern w:val="0"/>
                <w:sz w:val="24"/>
                <w:szCs w:val="24"/>
              </w:rPr>
            </w:pPr>
            <w:r>
              <w:rPr>
                <w:snapToGrid w:val="0"/>
                <w:kern w:val="0"/>
              </w:rPr>
              <mc:AlternateContent>
                <mc:Choice Requires="wps">
                  <w:drawing>
                    <wp:anchor distT="0" distB="0" distL="114300" distR="114300" simplePos="0" relativeHeight="251660288" behindDoc="0" locked="0" layoutInCell="1" allowOverlap="1">
                      <wp:simplePos x="0" y="0"/>
                      <wp:positionH relativeFrom="column">
                        <wp:posOffset>-1901190</wp:posOffset>
                      </wp:positionH>
                      <wp:positionV relativeFrom="paragraph">
                        <wp:posOffset>-82550</wp:posOffset>
                      </wp:positionV>
                      <wp:extent cx="769620" cy="347345"/>
                      <wp:effectExtent l="211455" t="0" r="0" b="0"/>
                      <wp:wrapNone/>
                      <wp:docPr id="2" name="文本框 5"/>
                      <wp:cNvGraphicFramePr/>
                      <a:graphic xmlns:a="http://schemas.openxmlformats.org/drawingml/2006/main">
                        <a:graphicData uri="http://schemas.microsoft.com/office/word/2010/wordprocessingShape">
                          <wps:wsp>
                            <wps:cNvSpPr txBox="1"/>
                            <wps:spPr>
                              <a:xfrm rot="5400000">
                                <a:off x="0" y="0"/>
                                <a:ext cx="769620" cy="347345"/>
                              </a:xfrm>
                              <a:prstGeom prst="rect">
                                <a:avLst/>
                              </a:prstGeom>
                              <a:noFill/>
                              <a:ln w="6350">
                                <a:noFill/>
                              </a:ln>
                            </wps:spPr>
                            <wps:txbx>
                              <w:txbxContent>
                                <w:p>
                                  <w:pPr>
                                    <w:rPr>
                                      <w:sz w:val="28"/>
                                      <w:szCs w:val="28"/>
                                    </w:rPr>
                                  </w:pPr>
                                  <w:r>
                                    <w:rPr>
                                      <w:sz w:val="28"/>
                                      <w:szCs w:val="28"/>
                                    </w:rPr>
                                    <w:t>—18—</w:t>
                                  </w:r>
                                </w:p>
                              </w:txbxContent>
                            </wps:txbx>
                            <wps:bodyPr vert="eaVert" upright="1"/>
                          </wps:wsp>
                        </a:graphicData>
                      </a:graphic>
                    </wp:anchor>
                  </w:drawing>
                </mc:Choice>
                <mc:Fallback>
                  <w:pict>
                    <v:shape id="文本框 5" o:spid="_x0000_s1026" o:spt="202" type="#_x0000_t202" style="position:absolute;left:0pt;margin-left:-149.7pt;margin-top:-6.5pt;height:27.35pt;width:60.6pt;rotation:5898240f;z-index:251660288;mso-width-relative:page;mso-height-relative:page;" filled="f" stroked="f" coordsize="21600,21600" o:gfxdata="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K4Tzvb&#10;AAAADAEAAA8AAAAAAAAAAQAgAAAAIgAAAGRycy9kb3ducmV2LnhtbFBLAQIUABQAAAAIAIdO4kDL&#10;v0JeqwEAACQDAAAOAAAAAAAAAAEAIAAAACoBAABkcnMvZTJvRG9jLnhtbFBLBQYAAAAABgAGAFkB&#10;AABHBQAAAAA=&#10;">
                      <v:fill on="f" focussize="0,0"/>
                      <v:stroke on="f" weight="0.5pt"/>
                      <v:imagedata o:title=""/>
                      <o:lock v:ext="edit" aspectratio="f"/>
                      <v:textbox style="layout-flow:vertical-ideographic;">
                        <w:txbxContent>
                          <w:p>
                            <w:pPr>
                              <w:rPr>
                                <w:sz w:val="28"/>
                                <w:szCs w:val="28"/>
                              </w:rPr>
                            </w:pPr>
                            <w:r>
                              <w:rPr>
                                <w:sz w:val="28"/>
                                <w:szCs w:val="28"/>
                              </w:rPr>
                              <w:t>—18—</w:t>
                            </w:r>
                          </w:p>
                        </w:txbxContent>
                      </v:textbox>
                    </v:shape>
                  </w:pict>
                </mc:Fallback>
              </mc:AlternateContent>
            </w:r>
            <w:r>
              <w:rPr>
                <w:rFonts w:hint="eastAsia" w:eastAsia="仿宋_GB2312" w:cs="仿宋_GB2312"/>
                <w:snapToGrid w:val="0"/>
                <w:kern w:val="0"/>
                <w:sz w:val="24"/>
                <w:szCs w:val="24"/>
              </w:rPr>
              <w:t>（</w:t>
            </w:r>
            <w:r>
              <w:rPr>
                <w:rFonts w:eastAsia="仿宋_GB2312"/>
                <w:snapToGrid w:val="0"/>
                <w:kern w:val="0"/>
                <w:sz w:val="24"/>
                <w:szCs w:val="24"/>
              </w:rPr>
              <w:t>31</w:t>
            </w:r>
            <w:r>
              <w:rPr>
                <w:rFonts w:hint="eastAsia" w:eastAsia="仿宋_GB2312" w:cs="仿宋_GB2312"/>
                <w:snapToGrid w:val="0"/>
                <w:kern w:val="0"/>
                <w:sz w:val="24"/>
                <w:szCs w:val="24"/>
              </w:rPr>
              <w:t>）依法依规向社会公开监督抽检结果及不合格食品核查处置情况。</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9.</w:t>
            </w:r>
            <w:r>
              <w:rPr>
                <w:rFonts w:hint="eastAsia" w:eastAsia="仿宋_GB2312" w:cs="仿宋_GB2312"/>
                <w:snapToGrid w:val="0"/>
                <w:kern w:val="0"/>
                <w:sz w:val="24"/>
                <w:szCs w:val="24"/>
              </w:rPr>
              <w:t>执法办案</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32</w:t>
            </w:r>
            <w:r>
              <w:rPr>
                <w:rFonts w:hint="eastAsia" w:eastAsia="仿宋_GB2312" w:cs="仿宋_GB2312"/>
                <w:snapToGrid w:val="0"/>
                <w:kern w:val="0"/>
                <w:sz w:val="24"/>
                <w:szCs w:val="24"/>
              </w:rPr>
              <w:t>）有力推进民生领域案件查办</w:t>
            </w:r>
            <w:r>
              <w:rPr>
                <w:rFonts w:hint="eastAsia" w:eastAsia="仿宋_GB2312"/>
                <w:snapToGrid w:val="0"/>
                <w:kern w:val="0"/>
                <w:sz w:val="24"/>
                <w:szCs w:val="24"/>
                <w:lang w:val="en" w:eastAsia="zh-CN"/>
              </w:rPr>
              <w:t>“</w:t>
            </w:r>
            <w:r>
              <w:rPr>
                <w:rFonts w:hint="eastAsia" w:eastAsia="仿宋_GB2312" w:cs="仿宋_GB2312"/>
                <w:snapToGrid w:val="0"/>
                <w:kern w:val="0"/>
                <w:sz w:val="24"/>
                <w:szCs w:val="24"/>
              </w:rPr>
              <w:t>铁拳</w:t>
            </w:r>
            <w:r>
              <w:rPr>
                <w:rFonts w:hint="eastAsia" w:eastAsia="仿宋_GB2312"/>
                <w:snapToGrid w:val="0"/>
                <w:kern w:val="0"/>
                <w:sz w:val="24"/>
                <w:szCs w:val="24"/>
                <w:lang w:eastAsia="zh-CN"/>
              </w:rPr>
              <w:t>”</w:t>
            </w:r>
            <w:r>
              <w:rPr>
                <w:rFonts w:hint="eastAsia" w:eastAsia="仿宋_GB2312" w:cs="仿宋_GB2312"/>
                <w:snapToGrid w:val="0"/>
                <w:kern w:val="0"/>
                <w:sz w:val="24"/>
                <w:szCs w:val="24"/>
              </w:rPr>
              <w:t>行动。食品安全违法案件立案率和办结率达到</w:t>
            </w:r>
            <w:r>
              <w:rPr>
                <w:rFonts w:eastAsia="仿宋_GB2312"/>
                <w:snapToGrid w:val="0"/>
                <w:kern w:val="0"/>
                <w:sz w:val="24"/>
                <w:szCs w:val="24"/>
              </w:rPr>
              <w:t>100%</w:t>
            </w:r>
            <w:r>
              <w:rPr>
                <w:rFonts w:hint="eastAsia" w:eastAsia="仿宋_GB2312" w:cs="仿宋_GB2312"/>
                <w:snapToGrid w:val="0"/>
                <w:kern w:val="0"/>
                <w:sz w:val="24"/>
                <w:szCs w:val="24"/>
              </w:rPr>
              <w:t>，无程序违法等严重问题导致行政复议、行政诉讼败诉的食品安全违法案件。</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33</w:t>
            </w:r>
            <w:r>
              <w:rPr>
                <w:rFonts w:hint="eastAsia" w:eastAsia="仿宋_GB2312" w:cs="仿宋_GB2312"/>
                <w:snapToGrid w:val="0"/>
                <w:kern w:val="0"/>
                <w:sz w:val="24"/>
                <w:szCs w:val="24"/>
              </w:rPr>
              <w:t>）行政执法与刑事司法衔接机制有效运行，涉案物品检验与认定、信息通报、线索核查和处置等工作落实到位。</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市委政法委</w:t>
            </w:r>
          </w:p>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市中级人民法院、市人民检察院、市公安局、市农业农村局、市市场监管局、市商务局，各县（市、区）人民政府、曲靖经开区管委会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34</w:t>
            </w:r>
            <w:r>
              <w:rPr>
                <w:rFonts w:hint="eastAsia" w:eastAsia="仿宋_GB2312" w:cs="仿宋_GB2312"/>
                <w:snapToGrid w:val="0"/>
                <w:kern w:val="0"/>
                <w:sz w:val="24"/>
                <w:szCs w:val="24"/>
              </w:rPr>
              <w:t>）严厉打击食品走私等违法犯罪行为，严控走私冻品、活体动物等流入国内市场，对查获的走私冻品依法依规进行处置。</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市商务局</w:t>
            </w:r>
          </w:p>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市中级人民法院、市人民检察院、市公安局、市市场监管局，各县（市、区）人民政府、曲靖经开区管委会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35</w:t>
            </w:r>
            <w:r>
              <w:rPr>
                <w:rFonts w:hint="eastAsia" w:eastAsia="仿宋_GB2312" w:cs="仿宋_GB2312"/>
                <w:snapToGrid w:val="0"/>
                <w:kern w:val="0"/>
                <w:sz w:val="24"/>
                <w:szCs w:val="24"/>
              </w:rPr>
              <w:t>）严格落实</w:t>
            </w:r>
            <w:r>
              <w:rPr>
                <w:rFonts w:hint="eastAsia" w:eastAsia="仿宋_GB2312"/>
                <w:snapToGrid w:val="0"/>
                <w:kern w:val="0"/>
                <w:sz w:val="24"/>
                <w:szCs w:val="24"/>
                <w:lang w:val="en" w:eastAsia="zh-CN"/>
              </w:rPr>
              <w:t>“</w:t>
            </w:r>
            <w:r>
              <w:rPr>
                <w:rFonts w:hint="eastAsia" w:eastAsia="仿宋_GB2312" w:cs="仿宋_GB2312"/>
                <w:snapToGrid w:val="0"/>
                <w:kern w:val="0"/>
                <w:sz w:val="24"/>
                <w:szCs w:val="24"/>
              </w:rPr>
              <w:t>处罚到人</w:t>
            </w:r>
            <w:r>
              <w:rPr>
                <w:rFonts w:hint="eastAsia" w:eastAsia="仿宋_GB2312"/>
                <w:snapToGrid w:val="0"/>
                <w:kern w:val="0"/>
                <w:sz w:val="24"/>
                <w:szCs w:val="24"/>
                <w:lang w:eastAsia="zh-CN"/>
              </w:rPr>
              <w:t>”</w:t>
            </w:r>
            <w:r>
              <w:rPr>
                <w:rFonts w:hint="eastAsia" w:eastAsia="仿宋_GB2312" w:cs="仿宋_GB2312"/>
                <w:snapToGrid w:val="0"/>
                <w:kern w:val="0"/>
                <w:sz w:val="24"/>
                <w:szCs w:val="24"/>
              </w:rPr>
              <w:t>要求，依法对违法企业及其直接负责的主管人员和其他直接责任人员进行严厉处罚，实行食品行业从业禁止、终身禁业，对再犯从严从重处罚。</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市中级人民法院、市人民检察院、市公安局，各县（市、区）人民政府、曲靖经开区管委会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890" w:type="dxa"/>
            <w:vAlign w:val="center"/>
          </w:tcPr>
          <w:p>
            <w:pPr>
              <w:snapToGrid w:val="0"/>
              <w:jc w:val="center"/>
              <w:rPr>
                <w:rFonts w:eastAsia="仿宋_GB2312"/>
                <w:snapToGrid w:val="0"/>
                <w:kern w:val="0"/>
                <w:sz w:val="24"/>
                <w:szCs w:val="24"/>
              </w:rPr>
            </w:pPr>
          </w:p>
          <w:p>
            <w:pPr>
              <w:snapToGrid w:val="0"/>
              <w:jc w:val="center"/>
              <w:rPr>
                <w:rFonts w:eastAsia="仿宋_GB2312"/>
                <w:snapToGrid w:val="0"/>
                <w:kern w:val="0"/>
                <w:sz w:val="24"/>
                <w:szCs w:val="24"/>
              </w:rPr>
            </w:pPr>
          </w:p>
          <w:p>
            <w:pPr>
              <w:snapToGrid w:val="0"/>
              <w:jc w:val="center"/>
              <w:rPr>
                <w:rFonts w:eastAsia="仿宋_GB2312"/>
                <w:snapToGrid w:val="0"/>
                <w:kern w:val="0"/>
                <w:sz w:val="24"/>
                <w:szCs w:val="24"/>
              </w:rPr>
            </w:pPr>
            <w:r>
              <w:rPr>
                <w:rFonts w:eastAsia="仿宋_GB2312"/>
                <w:snapToGrid w:val="0"/>
                <w:kern w:val="0"/>
                <w:sz w:val="24"/>
                <w:szCs w:val="24"/>
              </w:rPr>
              <w:t>10.</w:t>
            </w:r>
            <w:r>
              <w:rPr>
                <w:rFonts w:hint="eastAsia" w:eastAsia="仿宋_GB2312" w:cs="仿宋_GB2312"/>
                <w:snapToGrid w:val="0"/>
                <w:kern w:val="0"/>
                <w:sz w:val="24"/>
                <w:szCs w:val="24"/>
              </w:rPr>
              <w:t>集中整治</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36</w:t>
            </w:r>
            <w:r>
              <w:rPr>
                <w:rFonts w:hint="eastAsia" w:eastAsia="仿宋_GB2312" w:cs="仿宋_GB2312"/>
                <w:snapToGrid w:val="0"/>
                <w:kern w:val="0"/>
                <w:sz w:val="24"/>
                <w:szCs w:val="24"/>
              </w:rPr>
              <w:t>）集中整治网络餐饮安全，农村假冒伪劣食品，非法添加，农（兽）药残留超标，保健食品行业违法生产经营和营销、欺诈误导消费，未成年人食品安全监管等群众关注的突出问题，取得显著成效。</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市农业农村局、市教育体育局、市公安局，各县（市、区）人民政府、曲靖经开区管委会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11.</w:t>
            </w:r>
            <w:r>
              <w:rPr>
                <w:rFonts w:hint="eastAsia" w:eastAsia="仿宋_GB2312" w:cs="仿宋_GB2312"/>
                <w:snapToGrid w:val="0"/>
                <w:kern w:val="0"/>
                <w:sz w:val="24"/>
                <w:szCs w:val="24"/>
              </w:rPr>
              <w:t>社会共治</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4</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37</w:t>
            </w:r>
            <w:r>
              <w:rPr>
                <w:rFonts w:hint="eastAsia" w:eastAsia="仿宋_GB2312" w:cs="仿宋_GB2312"/>
                <w:snapToGrid w:val="0"/>
                <w:kern w:val="0"/>
                <w:sz w:val="24"/>
                <w:szCs w:val="24"/>
              </w:rPr>
              <w:t>）行业协会建立健全行规行约，发挥行业自律作用。引导各方社会力量参与食品安全工作，开展社会监督、科普宣传、志愿服务等。</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市民政局</w:t>
            </w:r>
          </w:p>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市政府食品安全委员会成员单位，各县（市、区）人民政府、曲靖经开区管委会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38</w:t>
            </w:r>
            <w:r>
              <w:rPr>
                <w:rFonts w:hint="eastAsia" w:eastAsia="仿宋_GB2312" w:cs="仿宋_GB2312"/>
                <w:snapToGrid w:val="0"/>
                <w:kern w:val="0"/>
                <w:sz w:val="24"/>
                <w:szCs w:val="24"/>
              </w:rPr>
              <w:t>）在城市社区和农村建立专兼职食品安全信息员（协管员）队伍，建立并落实管理制度。</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39</w:t>
            </w:r>
            <w:r>
              <w:rPr>
                <w:rFonts w:hint="eastAsia" w:eastAsia="仿宋_GB2312" w:cs="仿宋_GB2312"/>
                <w:snapToGrid w:val="0"/>
                <w:kern w:val="0"/>
                <w:sz w:val="24"/>
                <w:szCs w:val="24"/>
              </w:rPr>
              <w:t>）落实普法责任制，持续加强食品安全法律法规、国家标准、科学知识的宣传教育。持续开展</w:t>
            </w:r>
            <w:r>
              <w:rPr>
                <w:rFonts w:hint="eastAsia" w:eastAsia="仿宋_GB2312"/>
                <w:snapToGrid w:val="0"/>
                <w:kern w:val="0"/>
                <w:sz w:val="24"/>
                <w:szCs w:val="24"/>
                <w:lang w:val="en" w:eastAsia="zh-CN"/>
              </w:rPr>
              <w:t>“</w:t>
            </w:r>
            <w:r>
              <w:rPr>
                <w:rFonts w:hint="eastAsia" w:eastAsia="仿宋_GB2312" w:cs="仿宋_GB2312"/>
                <w:snapToGrid w:val="0"/>
                <w:kern w:val="0"/>
                <w:sz w:val="24"/>
                <w:szCs w:val="24"/>
              </w:rPr>
              <w:t>食品安全宣传周</w:t>
            </w:r>
            <w:r>
              <w:rPr>
                <w:rFonts w:hint="eastAsia" w:eastAsia="仿宋_GB2312"/>
                <w:snapToGrid w:val="0"/>
                <w:kern w:val="0"/>
                <w:sz w:val="24"/>
                <w:szCs w:val="24"/>
                <w:lang w:eastAsia="zh-CN"/>
              </w:rPr>
              <w:t>”</w:t>
            </w:r>
            <w:r>
              <w:rPr>
                <w:rFonts w:hint="eastAsia" w:eastAsia="仿宋_GB2312" w:cs="仿宋_GB2312"/>
                <w:snapToGrid w:val="0"/>
                <w:kern w:val="0"/>
                <w:sz w:val="24"/>
                <w:szCs w:val="24"/>
              </w:rPr>
              <w:t>活动。开展校园食品安全与营养教育。</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市司法局</w:t>
            </w:r>
          </w:p>
          <w:p>
            <w:pPr>
              <w:jc w:val="center"/>
              <w:rPr>
                <w:rFonts w:eastAsia="仿宋_GB2312"/>
                <w:snapToGrid w:val="0"/>
                <w:kern w:val="0"/>
                <w:sz w:val="24"/>
                <w:szCs w:val="24"/>
              </w:rPr>
            </w:pPr>
            <w:r>
              <w:rPr>
                <w:rFonts w:hint="eastAsia" w:eastAsia="仿宋_GB2312" w:cs="仿宋_GB2312"/>
                <w:snapToGrid w:val="0"/>
                <w:kern w:val="0"/>
                <w:sz w:val="24"/>
                <w:szCs w:val="24"/>
              </w:rPr>
              <w:t>市政府食品安全办</w:t>
            </w:r>
          </w:p>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市政府食品安全委员会成员单位，各县（市、区）人民政府、曲靖经开区管委会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0" w:type="dxa"/>
            <w:vMerge w:val="continue"/>
            <w:vAlign w:val="center"/>
          </w:tcPr>
          <w:p>
            <w:pP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40</w:t>
            </w:r>
            <w:r>
              <w:rPr>
                <w:rFonts w:hint="eastAsia" w:eastAsia="仿宋_GB2312" w:cs="仿宋_GB2312"/>
                <w:snapToGrid w:val="0"/>
                <w:kern w:val="0"/>
                <w:sz w:val="24"/>
                <w:szCs w:val="24"/>
              </w:rPr>
              <w:t>）畅通食品安全投诉举报渠道，工作时间内</w:t>
            </w:r>
            <w:r>
              <w:rPr>
                <w:rFonts w:eastAsia="仿宋_GB2312"/>
                <w:snapToGrid w:val="0"/>
                <w:kern w:val="0"/>
                <w:sz w:val="24"/>
                <w:szCs w:val="24"/>
              </w:rPr>
              <w:t>12315</w:t>
            </w:r>
            <w:r>
              <w:rPr>
                <w:rFonts w:hint="eastAsia" w:eastAsia="仿宋_GB2312" w:cs="仿宋_GB2312"/>
                <w:snapToGrid w:val="0"/>
                <w:kern w:val="0"/>
                <w:sz w:val="24"/>
                <w:szCs w:val="24"/>
              </w:rPr>
              <w:t>热线接通率达到</w:t>
            </w:r>
            <w:r>
              <w:rPr>
                <w:rFonts w:eastAsia="仿宋_GB2312"/>
                <w:snapToGrid w:val="0"/>
                <w:kern w:val="0"/>
                <w:sz w:val="24"/>
                <w:szCs w:val="24"/>
              </w:rPr>
              <w:t>90%</w:t>
            </w:r>
            <w:r>
              <w:rPr>
                <w:rFonts w:hint="eastAsia" w:eastAsia="仿宋_GB2312" w:cs="仿宋_GB2312"/>
                <w:snapToGrid w:val="0"/>
                <w:kern w:val="0"/>
                <w:sz w:val="24"/>
                <w:szCs w:val="24"/>
              </w:rPr>
              <w:t>以上。完成市场监管投诉举报线上线下一体化，统一应用全国</w:t>
            </w:r>
            <w:r>
              <w:rPr>
                <w:rFonts w:eastAsia="仿宋_GB2312"/>
                <w:snapToGrid w:val="0"/>
                <w:kern w:val="0"/>
                <w:sz w:val="24"/>
                <w:szCs w:val="24"/>
              </w:rPr>
              <w:t>12315</w:t>
            </w:r>
            <w:r>
              <w:rPr>
                <w:rFonts w:hint="eastAsia" w:eastAsia="仿宋_GB2312" w:cs="仿宋_GB2312"/>
                <w:snapToGrid w:val="0"/>
                <w:kern w:val="0"/>
                <w:sz w:val="24"/>
                <w:szCs w:val="24"/>
              </w:rPr>
              <w:t>平台处理食品类投诉举报业务。食品类消费投诉按时办结率达到</w:t>
            </w:r>
            <w:r>
              <w:rPr>
                <w:rFonts w:eastAsia="仿宋_GB2312"/>
                <w:snapToGrid w:val="0"/>
                <w:kern w:val="0"/>
                <w:sz w:val="24"/>
                <w:szCs w:val="24"/>
              </w:rPr>
              <w:t>98%</w:t>
            </w:r>
            <w:r>
              <w:rPr>
                <w:rFonts w:hint="eastAsia" w:eastAsia="仿宋_GB2312" w:cs="仿宋_GB2312"/>
                <w:snapToGrid w:val="0"/>
                <w:kern w:val="0"/>
                <w:sz w:val="24"/>
                <w:szCs w:val="24"/>
              </w:rPr>
              <w:t>以上。</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查看全国</w:t>
            </w:r>
            <w:r>
              <w:rPr>
                <w:rFonts w:eastAsia="仿宋_GB2312"/>
                <w:snapToGrid w:val="0"/>
                <w:kern w:val="0"/>
                <w:sz w:val="24"/>
                <w:szCs w:val="24"/>
              </w:rPr>
              <w:t>12315</w:t>
            </w:r>
            <w:r>
              <w:rPr>
                <w:rFonts w:hint="eastAsia" w:eastAsia="仿宋_GB2312" w:cs="仿宋_GB2312"/>
                <w:snapToGrid w:val="0"/>
                <w:kern w:val="0"/>
                <w:sz w:val="24"/>
                <w:szCs w:val="24"/>
              </w:rPr>
              <w:t>平台</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40" w:type="dxa"/>
            <w:gridSpan w:val="5"/>
            <w:vAlign w:val="center"/>
          </w:tcPr>
          <w:p>
            <w:pPr>
              <w:snapToGrid w:val="0"/>
              <w:jc w:val="left"/>
              <w:rPr>
                <w:rFonts w:eastAsia="仿宋_GB2312"/>
                <w:snapToGrid w:val="0"/>
                <w:kern w:val="0"/>
                <w:sz w:val="24"/>
                <w:szCs w:val="24"/>
              </w:rPr>
            </w:pPr>
            <w:r>
              <w:rPr>
                <w:rFonts w:hint="eastAsia" w:eastAsia="仿宋_GB2312" w:cs="仿宋_GB2312"/>
                <w:b/>
                <w:bCs/>
                <w:snapToGrid w:val="0"/>
                <w:kern w:val="0"/>
                <w:sz w:val="24"/>
                <w:szCs w:val="24"/>
              </w:rPr>
              <w:t>二、能力建设（</w:t>
            </w:r>
            <w:r>
              <w:rPr>
                <w:rFonts w:eastAsia="仿宋_GB2312"/>
                <w:b/>
                <w:bCs/>
                <w:snapToGrid w:val="0"/>
                <w:kern w:val="0"/>
                <w:sz w:val="24"/>
                <w:szCs w:val="24"/>
              </w:rPr>
              <w:t>15</w:t>
            </w:r>
            <w:r>
              <w:rPr>
                <w:rFonts w:hint="eastAsia" w:eastAsia="仿宋_GB2312" w:cs="仿宋_GB2312"/>
                <w:b/>
                <w:bCs/>
                <w:snapToGrid w:val="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890" w:type="dxa"/>
            <w:vAlign w:val="center"/>
          </w:tcPr>
          <w:p>
            <w:pPr>
              <w:jc w:val="center"/>
              <w:rPr>
                <w:rFonts w:eastAsia="仿宋_GB2312"/>
                <w:snapToGrid w:val="0"/>
                <w:kern w:val="0"/>
                <w:sz w:val="24"/>
                <w:szCs w:val="24"/>
              </w:rPr>
            </w:pPr>
            <w:r>
              <w:rPr>
                <w:rFonts w:eastAsia="仿宋_GB2312"/>
                <w:snapToGrid w:val="0"/>
                <w:kern w:val="0"/>
                <w:sz w:val="24"/>
                <w:szCs w:val="24"/>
              </w:rPr>
              <w:t>12.</w:t>
            </w:r>
            <w:r>
              <w:rPr>
                <w:rFonts w:hint="eastAsia" w:eastAsia="仿宋_GB2312" w:cs="仿宋_GB2312"/>
                <w:snapToGrid w:val="0"/>
                <w:kern w:val="0"/>
                <w:sz w:val="24"/>
                <w:szCs w:val="24"/>
              </w:rPr>
              <w:t>投入保障</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w:t>
            </w:r>
            <w:r>
              <w:rPr>
                <w:rFonts w:hint="eastAsia" w:eastAsia="仿宋_GB2312" w:cs="仿宋_GB2312"/>
                <w:snapToGrid w:val="0"/>
                <w:kern w:val="0"/>
                <w:sz w:val="24"/>
                <w:szCs w:val="24"/>
              </w:rPr>
              <w:t>分）</w:t>
            </w: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41</w:t>
            </w:r>
            <w:r>
              <w:rPr>
                <w:rFonts w:hint="eastAsia" w:eastAsia="仿宋_GB2312" w:cs="仿宋_GB2312"/>
                <w:snapToGrid w:val="0"/>
                <w:kern w:val="0"/>
                <w:sz w:val="24"/>
                <w:szCs w:val="24"/>
              </w:rPr>
              <w:t>）食品安全工作经费列入本级预算，持续加大投入，保障食品安全监管工作需要。</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市财政局</w:t>
            </w:r>
          </w:p>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市市场监管局，各县（市、区）人民政府、曲靖经开区管委会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Align w:val="center"/>
          </w:tcPr>
          <w:p>
            <w:pPr>
              <w:jc w:val="center"/>
              <w:rPr>
                <w:rFonts w:eastAsia="仿宋_GB2312"/>
                <w:snapToGrid w:val="0"/>
                <w:kern w:val="0"/>
                <w:sz w:val="24"/>
                <w:szCs w:val="24"/>
              </w:rPr>
            </w:pPr>
            <w:r>
              <w:rPr>
                <w:rFonts w:eastAsia="仿宋_GB2312"/>
                <w:snapToGrid w:val="0"/>
                <w:kern w:val="0"/>
                <w:sz w:val="24"/>
                <w:szCs w:val="24"/>
              </w:rPr>
              <w:t>13.</w:t>
            </w:r>
            <w:r>
              <w:rPr>
                <w:rFonts w:hint="eastAsia" w:eastAsia="仿宋_GB2312" w:cs="仿宋_GB2312"/>
                <w:snapToGrid w:val="0"/>
                <w:kern w:val="0"/>
                <w:sz w:val="24"/>
                <w:szCs w:val="24"/>
              </w:rPr>
              <w:t>基层装备</w:t>
            </w:r>
          </w:p>
          <w:p>
            <w:pPr>
              <w:ind w:left="320" w:leftChars="100"/>
              <w:rPr>
                <w:rFonts w:eastAsia="仿宋_GB2312"/>
                <w:snapToGrid w:val="0"/>
                <w:kern w:val="0"/>
                <w:sz w:val="24"/>
                <w:szCs w:val="24"/>
              </w:rPr>
            </w:pPr>
            <w:r>
              <w:rPr>
                <w:snapToGrid w:val="0"/>
                <w:kern w:val="0"/>
              </w:rPr>
              <mc:AlternateContent>
                <mc:Choice Requires="wps">
                  <w:drawing>
                    <wp:anchor distT="0" distB="0" distL="114300" distR="114300" simplePos="0" relativeHeight="251662336" behindDoc="0" locked="0" layoutInCell="1" allowOverlap="1">
                      <wp:simplePos x="0" y="0"/>
                      <wp:positionH relativeFrom="column">
                        <wp:posOffset>-696595</wp:posOffset>
                      </wp:positionH>
                      <wp:positionV relativeFrom="paragraph">
                        <wp:posOffset>231775</wp:posOffset>
                      </wp:positionV>
                      <wp:extent cx="769620" cy="347345"/>
                      <wp:effectExtent l="211455" t="0" r="0" b="0"/>
                      <wp:wrapNone/>
                      <wp:docPr id="5" name="文本框 16"/>
                      <wp:cNvGraphicFramePr/>
                      <a:graphic xmlns:a="http://schemas.openxmlformats.org/drawingml/2006/main">
                        <a:graphicData uri="http://schemas.microsoft.com/office/word/2010/wordprocessingShape">
                          <wps:wsp>
                            <wps:cNvSpPr txBox="1"/>
                            <wps:spPr>
                              <a:xfrm rot="5400000">
                                <a:off x="0" y="0"/>
                                <a:ext cx="769620" cy="347345"/>
                              </a:xfrm>
                              <a:prstGeom prst="rect">
                                <a:avLst/>
                              </a:prstGeom>
                              <a:noFill/>
                              <a:ln w="6350">
                                <a:noFill/>
                              </a:ln>
                            </wps:spPr>
                            <wps:txbx>
                              <w:txbxContent>
                                <w:p>
                                  <w:pPr>
                                    <w:rPr>
                                      <w:sz w:val="28"/>
                                      <w:szCs w:val="28"/>
                                    </w:rPr>
                                  </w:pPr>
                                  <w:r>
                                    <w:rPr>
                                      <w:sz w:val="28"/>
                                      <w:szCs w:val="28"/>
                                    </w:rPr>
                                    <w:t>—19—</w:t>
                                  </w:r>
                                </w:p>
                              </w:txbxContent>
                            </wps:txbx>
                            <wps:bodyPr vert="eaVert" upright="1"/>
                          </wps:wsp>
                        </a:graphicData>
                      </a:graphic>
                    </wp:anchor>
                  </w:drawing>
                </mc:Choice>
                <mc:Fallback>
                  <w:pict>
                    <v:shape id="文本框 16" o:spid="_x0000_s1026" o:spt="202" type="#_x0000_t202" style="position:absolute;left:0pt;margin-left:-54.85pt;margin-top:18.25pt;height:27.35pt;width:60.6pt;rotation:5898240f;z-index:251662336;mso-width-relative:page;mso-height-relative:page;" filled="f" stroked="f" coordsize="21600,21600" o:gfxdata="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Foo39kA&#10;AAAJAQAADwAAAAAAAAABACAAAAAiAAAAZHJzL2Rvd25yZXYueG1sUEsBAhQAFAAAAAgAh07iQC4a&#10;qB6sAQAAJQMAAA4AAAAAAAAAAQAgAAAAKAEAAGRycy9lMm9Eb2MueG1sUEsFBgAAAAAGAAYAWQEA&#10;AEYFAAAAAA==&#10;">
                      <v:fill on="f" focussize="0,0"/>
                      <v:stroke on="f" weight="0.5pt"/>
                      <v:imagedata o:title=""/>
                      <o:lock v:ext="edit" aspectratio="f"/>
                      <v:textbox style="layout-flow:vertical-ideographic;">
                        <w:txbxContent>
                          <w:p>
                            <w:pPr>
                              <w:rPr>
                                <w:sz w:val="28"/>
                                <w:szCs w:val="28"/>
                              </w:rPr>
                            </w:pPr>
                            <w:r>
                              <w:rPr>
                                <w:sz w:val="28"/>
                                <w:szCs w:val="28"/>
                              </w:rPr>
                              <w:t>—19—</w:t>
                            </w:r>
                          </w:p>
                        </w:txbxContent>
                      </v:textbox>
                    </v:shape>
                  </w:pict>
                </mc:Fallback>
              </mc:AlternateContent>
            </w:r>
            <w:r>
              <w:rPr>
                <w:rFonts w:hint="eastAsia" w:eastAsia="仿宋_GB2312" w:cs="仿宋_GB2312"/>
                <w:snapToGrid w:val="0"/>
                <w:kern w:val="0"/>
                <w:sz w:val="24"/>
                <w:szCs w:val="24"/>
              </w:rPr>
              <w:t>（</w:t>
            </w:r>
            <w:r>
              <w:rPr>
                <w:rFonts w:eastAsia="仿宋_GB2312"/>
                <w:snapToGrid w:val="0"/>
                <w:kern w:val="0"/>
                <w:sz w:val="24"/>
                <w:szCs w:val="24"/>
              </w:rPr>
              <w:t>2</w:t>
            </w:r>
            <w:r>
              <w:rPr>
                <w:rFonts w:hint="eastAsia" w:eastAsia="仿宋_GB2312" w:cs="仿宋_GB2312"/>
                <w:snapToGrid w:val="0"/>
                <w:kern w:val="0"/>
                <w:sz w:val="24"/>
                <w:szCs w:val="24"/>
              </w:rPr>
              <w:t>分）</w:t>
            </w: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42</w:t>
            </w:r>
            <w:r>
              <w:rPr>
                <w:rFonts w:hint="eastAsia" w:eastAsia="仿宋_GB2312" w:cs="仿宋_GB2312"/>
                <w:snapToGrid w:val="0"/>
                <w:kern w:val="0"/>
                <w:sz w:val="24"/>
                <w:szCs w:val="24"/>
              </w:rPr>
              <w:t>）基层监管机构装备配备、检验检测设备齐全，办公业务用房、执法车辆等满足监管工作需要。</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14.</w:t>
            </w:r>
            <w:r>
              <w:rPr>
                <w:rFonts w:hint="eastAsia" w:eastAsia="仿宋_GB2312" w:cs="仿宋_GB2312"/>
                <w:snapToGrid w:val="0"/>
                <w:kern w:val="0"/>
                <w:sz w:val="24"/>
                <w:szCs w:val="24"/>
              </w:rPr>
              <w:t>监管专业化</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w:t>
            </w:r>
            <w:r>
              <w:rPr>
                <w:rFonts w:hint="eastAsia" w:eastAsia="仿宋_GB2312" w:cs="仿宋_GB2312"/>
                <w:snapToGrid w:val="0"/>
                <w:kern w:val="0"/>
                <w:sz w:val="24"/>
                <w:szCs w:val="24"/>
              </w:rPr>
              <w:t>分）</w:t>
            </w: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43</w:t>
            </w:r>
            <w:r>
              <w:rPr>
                <w:rFonts w:hint="eastAsia" w:eastAsia="仿宋_GB2312" w:cs="仿宋_GB2312"/>
                <w:snapToGrid w:val="0"/>
                <w:kern w:val="0"/>
                <w:sz w:val="24"/>
                <w:szCs w:val="24"/>
              </w:rPr>
              <w:t>）县级市场监管部门及其派出机构将食品安全监管作为首要职责，监管力量满足食品安全监管需要，从事食品安全监管人员的专业化比例达到</w:t>
            </w:r>
            <w:r>
              <w:rPr>
                <w:rFonts w:eastAsia="仿宋_GB2312"/>
                <w:snapToGrid w:val="0"/>
                <w:kern w:val="0"/>
                <w:sz w:val="24"/>
                <w:szCs w:val="24"/>
              </w:rPr>
              <w:t>70%</w:t>
            </w:r>
            <w:r>
              <w:rPr>
                <w:rFonts w:hint="eastAsia" w:eastAsia="仿宋_GB2312" w:cs="仿宋_GB2312"/>
                <w:snapToGrid w:val="0"/>
                <w:kern w:val="0"/>
                <w:sz w:val="24"/>
                <w:szCs w:val="24"/>
              </w:rPr>
              <w:t>以上。</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44</w:t>
            </w:r>
            <w:r>
              <w:rPr>
                <w:rFonts w:hint="eastAsia" w:eastAsia="仿宋_GB2312" w:cs="仿宋_GB2312"/>
                <w:snapToGrid w:val="0"/>
                <w:kern w:val="0"/>
                <w:sz w:val="24"/>
                <w:szCs w:val="24"/>
              </w:rPr>
              <w:t>）加大公安机关打击食品安全犯罪专业力量、专业装备建设力度，明确机构和人员负责打击食品安全犯罪，强化办案保障。</w:t>
            </w:r>
            <w:r>
              <w:rPr>
                <w:snapToGrid w:val="0"/>
                <w:kern w:val="0"/>
              </w:rPr>
              <mc:AlternateContent>
                <mc:Choice Requires="wps">
                  <w:drawing>
                    <wp:anchor distT="0" distB="0" distL="114300" distR="114300" simplePos="0" relativeHeight="251669504" behindDoc="0" locked="0" layoutInCell="1" allowOverlap="1">
                      <wp:simplePos x="0" y="0"/>
                      <wp:positionH relativeFrom="column">
                        <wp:posOffset>-1901190</wp:posOffset>
                      </wp:positionH>
                      <wp:positionV relativeFrom="paragraph">
                        <wp:posOffset>-1118870</wp:posOffset>
                      </wp:positionV>
                      <wp:extent cx="769620" cy="347345"/>
                      <wp:effectExtent l="211455" t="0" r="0" b="0"/>
                      <wp:wrapNone/>
                      <wp:docPr id="9" name="文本框 6"/>
                      <wp:cNvGraphicFramePr/>
                      <a:graphic xmlns:a="http://schemas.openxmlformats.org/drawingml/2006/main">
                        <a:graphicData uri="http://schemas.microsoft.com/office/word/2010/wordprocessingShape">
                          <wps:wsp>
                            <wps:cNvSpPr txBox="1"/>
                            <wps:spPr>
                              <a:xfrm rot="5400000">
                                <a:off x="0" y="0"/>
                                <a:ext cx="769620" cy="347345"/>
                              </a:xfrm>
                              <a:prstGeom prst="rect">
                                <a:avLst/>
                              </a:prstGeom>
                              <a:noFill/>
                              <a:ln w="6350">
                                <a:noFill/>
                              </a:ln>
                            </wps:spPr>
                            <wps:txbx>
                              <w:txbxContent>
                                <w:p>
                                  <w:pPr>
                                    <w:rPr>
                                      <w:sz w:val="28"/>
                                      <w:szCs w:val="28"/>
                                    </w:rPr>
                                  </w:pPr>
                                  <w:r>
                                    <w:rPr>
                                      <w:sz w:val="28"/>
                                      <w:szCs w:val="28"/>
                                    </w:rPr>
                                    <w:t>—20—</w:t>
                                  </w:r>
                                </w:p>
                              </w:txbxContent>
                            </wps:txbx>
                            <wps:bodyPr vert="eaVert" upright="1"/>
                          </wps:wsp>
                        </a:graphicData>
                      </a:graphic>
                    </wp:anchor>
                  </w:drawing>
                </mc:Choice>
                <mc:Fallback>
                  <w:pict>
                    <v:shape id="文本框 6" o:spid="_x0000_s1026" o:spt="202" type="#_x0000_t202" style="position:absolute;left:0pt;margin-left:-149.7pt;margin-top:-88.1pt;height:27.35pt;width:60.6pt;rotation:5898240f;z-index:251669504;mso-width-relative:page;mso-height-relative:page;" filled="f" stroked="f" coordsize="21600,21600" o:gfxdata="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RVQs7b&#10;AAAADwEAAA8AAAAAAAAAAQAgAAAAIgAAAGRycy9kb3ducmV2LnhtbFBLAQIUABQAAAAIAIdO4kDy&#10;jCtdqwEAACQDAAAOAAAAAAAAAAEAIAAAACoBAABkcnMvZTJvRG9jLnhtbFBLBQYAAAAABgAGAFkB&#10;AABHBQAAAAA=&#10;">
                      <v:fill on="f" focussize="0,0"/>
                      <v:stroke on="f" weight="0.5pt"/>
                      <v:imagedata o:title=""/>
                      <o:lock v:ext="edit" aspectratio="f"/>
                      <v:textbox style="layout-flow:vertical-ideographic;">
                        <w:txbxContent>
                          <w:p>
                            <w:pPr>
                              <w:rPr>
                                <w:sz w:val="28"/>
                                <w:szCs w:val="28"/>
                              </w:rPr>
                            </w:pPr>
                            <w:r>
                              <w:rPr>
                                <w:sz w:val="28"/>
                                <w:szCs w:val="28"/>
                              </w:rPr>
                              <w:t>—20—</w:t>
                            </w:r>
                          </w:p>
                        </w:txbxContent>
                      </v:textbox>
                    </v:shape>
                  </w:pict>
                </mc:Fallback>
              </mc:AlternateConten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市公安局</w:t>
            </w:r>
          </w:p>
        </w:tc>
        <w:tc>
          <w:tcPr>
            <w:tcW w:w="3450" w:type="dxa"/>
            <w:vAlign w:val="center"/>
          </w:tcPr>
          <w:p>
            <w:pPr>
              <w:pStyle w:val="4"/>
              <w:rPr>
                <w:rFonts w:ascii="Times New Roman" w:hAnsi="Times New Roman" w:eastAsia="仿宋_GB2312" w:cs="Times New Roman"/>
                <w:snapToGrid w:val="0"/>
                <w:kern w:val="0"/>
                <w:sz w:val="24"/>
                <w:szCs w:val="24"/>
              </w:rPr>
            </w:pPr>
            <w:r>
              <w:rPr>
                <w:rFonts w:hint="eastAsia" w:ascii="Times New Roman" w:hAnsi="Times New Roman"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45</w:t>
            </w:r>
            <w:r>
              <w:rPr>
                <w:rFonts w:hint="eastAsia" w:eastAsia="仿宋_GB2312" w:cs="仿宋_GB2312"/>
                <w:snapToGrid w:val="0"/>
                <w:kern w:val="0"/>
                <w:sz w:val="24"/>
                <w:szCs w:val="24"/>
              </w:rPr>
              <w:t>）食品安全监管人员业务培训覆盖率达到</w:t>
            </w:r>
            <w:r>
              <w:rPr>
                <w:rFonts w:eastAsia="仿宋_GB2312"/>
                <w:snapToGrid w:val="0"/>
                <w:kern w:val="0"/>
                <w:sz w:val="24"/>
                <w:szCs w:val="24"/>
              </w:rPr>
              <w:t>100%</w:t>
            </w:r>
            <w:r>
              <w:rPr>
                <w:rFonts w:hint="eastAsia" w:eastAsia="仿宋_GB2312" w:cs="仿宋_GB2312"/>
                <w:snapToGrid w:val="0"/>
                <w:kern w:val="0"/>
                <w:sz w:val="24"/>
                <w:szCs w:val="24"/>
              </w:rPr>
              <w:t>，每人每年培训时间不低于</w:t>
            </w:r>
            <w:r>
              <w:rPr>
                <w:rFonts w:eastAsia="仿宋_GB2312"/>
                <w:snapToGrid w:val="0"/>
                <w:kern w:val="0"/>
                <w:sz w:val="24"/>
                <w:szCs w:val="24"/>
              </w:rPr>
              <w:t>40</w:t>
            </w:r>
            <w:r>
              <w:rPr>
                <w:rFonts w:hint="eastAsia" w:eastAsia="仿宋_GB2312" w:cs="仿宋_GB2312"/>
                <w:snapToGrid w:val="0"/>
                <w:kern w:val="0"/>
                <w:sz w:val="24"/>
                <w:szCs w:val="24"/>
              </w:rPr>
              <w:t>学时。</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15.</w:t>
            </w:r>
            <w:r>
              <w:rPr>
                <w:rFonts w:hint="eastAsia" w:eastAsia="仿宋_GB2312" w:cs="仿宋_GB2312"/>
                <w:snapToGrid w:val="0"/>
                <w:kern w:val="0"/>
                <w:sz w:val="24"/>
                <w:szCs w:val="24"/>
              </w:rPr>
              <w:t>检验检测</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3</w:t>
            </w:r>
            <w:r>
              <w:rPr>
                <w:rFonts w:hint="eastAsia" w:eastAsia="仿宋_GB2312" w:cs="仿宋_GB2312"/>
                <w:snapToGrid w:val="0"/>
                <w:kern w:val="0"/>
                <w:sz w:val="24"/>
                <w:szCs w:val="24"/>
              </w:rPr>
              <w:t>分）</w:t>
            </w: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46</w:t>
            </w:r>
            <w:r>
              <w:rPr>
                <w:rFonts w:hint="eastAsia" w:eastAsia="仿宋_GB2312" w:cs="仿宋_GB2312"/>
                <w:snapToGrid w:val="0"/>
                <w:kern w:val="0"/>
                <w:sz w:val="24"/>
                <w:szCs w:val="24"/>
              </w:rPr>
              <w:t>）年均食品安全抽检量达到</w:t>
            </w:r>
            <w:r>
              <w:rPr>
                <w:rFonts w:eastAsia="仿宋_GB2312"/>
                <w:snapToGrid w:val="0"/>
                <w:kern w:val="0"/>
                <w:sz w:val="24"/>
                <w:szCs w:val="24"/>
              </w:rPr>
              <w:t>4</w:t>
            </w:r>
            <w:r>
              <w:rPr>
                <w:rFonts w:hint="eastAsia" w:eastAsia="仿宋_GB2312" w:cs="仿宋_GB2312"/>
                <w:snapToGrid w:val="0"/>
                <w:kern w:val="0"/>
                <w:sz w:val="24"/>
                <w:szCs w:val="24"/>
              </w:rPr>
              <w:t>批次</w:t>
            </w:r>
            <w:r>
              <w:rPr>
                <w:rFonts w:eastAsia="仿宋_GB2312"/>
                <w:snapToGrid w:val="0"/>
                <w:kern w:val="0"/>
                <w:sz w:val="24"/>
                <w:szCs w:val="24"/>
              </w:rPr>
              <w:t>/</w:t>
            </w:r>
            <w:r>
              <w:rPr>
                <w:rFonts w:hint="eastAsia" w:eastAsia="仿宋_GB2312" w:cs="仿宋_GB2312"/>
                <w:snapToGrid w:val="0"/>
                <w:kern w:val="0"/>
                <w:sz w:val="24"/>
                <w:szCs w:val="24"/>
              </w:rPr>
              <w:t>千人，针对农药兽药残留的食品抽检量达到</w:t>
            </w:r>
            <w:r>
              <w:rPr>
                <w:rFonts w:eastAsia="仿宋_GB2312"/>
                <w:snapToGrid w:val="0"/>
                <w:kern w:val="0"/>
                <w:sz w:val="24"/>
                <w:szCs w:val="24"/>
              </w:rPr>
              <w:t>2</w:t>
            </w:r>
            <w:r>
              <w:rPr>
                <w:rFonts w:hint="eastAsia" w:eastAsia="仿宋_GB2312" w:cs="仿宋_GB2312"/>
                <w:snapToGrid w:val="0"/>
                <w:kern w:val="0"/>
                <w:sz w:val="24"/>
                <w:szCs w:val="24"/>
              </w:rPr>
              <w:t>批次</w:t>
            </w:r>
            <w:r>
              <w:rPr>
                <w:rFonts w:eastAsia="仿宋_GB2312"/>
                <w:snapToGrid w:val="0"/>
                <w:kern w:val="0"/>
                <w:sz w:val="24"/>
                <w:szCs w:val="24"/>
              </w:rPr>
              <w:t>/</w:t>
            </w:r>
            <w:r>
              <w:rPr>
                <w:rFonts w:hint="eastAsia" w:eastAsia="仿宋_GB2312" w:cs="仿宋_GB2312"/>
                <w:snapToGrid w:val="0"/>
                <w:kern w:val="0"/>
                <w:sz w:val="24"/>
                <w:szCs w:val="24"/>
              </w:rPr>
              <w:t>千人。</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47</w:t>
            </w:r>
            <w:r>
              <w:rPr>
                <w:rFonts w:hint="eastAsia" w:eastAsia="仿宋_GB2312" w:cs="仿宋_GB2312"/>
                <w:snapToGrid w:val="0"/>
                <w:kern w:val="0"/>
                <w:sz w:val="24"/>
                <w:szCs w:val="24"/>
              </w:rPr>
              <w:t>）本地区检验检测机构具有监督抽检项目中相应的检验能力。</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48</w:t>
            </w:r>
            <w:r>
              <w:rPr>
                <w:rFonts w:hint="eastAsia" w:eastAsia="仿宋_GB2312" w:cs="仿宋_GB2312"/>
                <w:snapToGrid w:val="0"/>
                <w:kern w:val="0"/>
                <w:sz w:val="24"/>
                <w:szCs w:val="24"/>
              </w:rPr>
              <w:t>）基层农产品质量安全检验检测体系得到稳定加强。</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市农业农村局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16.</w:t>
            </w:r>
            <w:r>
              <w:rPr>
                <w:rFonts w:hint="eastAsia" w:eastAsia="仿宋_GB2312" w:cs="仿宋_GB2312"/>
                <w:snapToGrid w:val="0"/>
                <w:kern w:val="0"/>
                <w:sz w:val="24"/>
                <w:szCs w:val="24"/>
              </w:rPr>
              <w:t>应急处置</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w:t>
            </w:r>
            <w:r>
              <w:rPr>
                <w:rFonts w:hint="eastAsia" w:eastAsia="仿宋_GB2312" w:cs="仿宋_GB2312"/>
                <w:snapToGrid w:val="0"/>
                <w:kern w:val="0"/>
                <w:sz w:val="24"/>
                <w:szCs w:val="24"/>
              </w:rPr>
              <w:t>分）</w:t>
            </w:r>
          </w:p>
        </w:tc>
        <w:tc>
          <w:tcPr>
            <w:tcW w:w="4769" w:type="dxa"/>
            <w:vAlign w:val="center"/>
          </w:tcPr>
          <w:p>
            <w:pPr>
              <w:snapToGrid w:val="0"/>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49</w:t>
            </w:r>
            <w:r>
              <w:rPr>
                <w:rFonts w:hint="eastAsia" w:eastAsia="仿宋_GB2312" w:cs="仿宋_GB2312"/>
                <w:snapToGrid w:val="0"/>
                <w:kern w:val="0"/>
                <w:sz w:val="24"/>
                <w:szCs w:val="24"/>
              </w:rPr>
              <w:t>）及时修订食品安全事故应急预案，完善事故调查、处置、报告和信息发布工作程序。</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市政府食品安全办</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市政府食品安全委员会成员单位，各县（市、区）人民政府、曲靖经开区管委会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snapToGrid w:val="0"/>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50</w:t>
            </w:r>
            <w:r>
              <w:rPr>
                <w:rFonts w:hint="eastAsia" w:eastAsia="仿宋_GB2312" w:cs="仿宋_GB2312"/>
                <w:snapToGrid w:val="0"/>
                <w:kern w:val="0"/>
                <w:sz w:val="24"/>
                <w:szCs w:val="24"/>
              </w:rPr>
              <w:t>）近两年以市政府或市级食品安全办名义开展食品安全实战应急演练。</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市政府食品安全办</w:t>
            </w:r>
          </w:p>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市政府食品安全委员会各有关成员单位，各县（市、区）人民政府、曲靖经开区管委会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890" w:type="dxa"/>
            <w:vAlign w:val="center"/>
          </w:tcPr>
          <w:p>
            <w:pPr>
              <w:jc w:val="center"/>
              <w:rPr>
                <w:rFonts w:eastAsia="仿宋_GB2312"/>
                <w:snapToGrid w:val="0"/>
                <w:kern w:val="0"/>
                <w:sz w:val="24"/>
                <w:szCs w:val="24"/>
              </w:rPr>
            </w:pPr>
            <w:r>
              <w:rPr>
                <w:rFonts w:eastAsia="仿宋_GB2312"/>
                <w:snapToGrid w:val="0"/>
                <w:kern w:val="0"/>
                <w:sz w:val="24"/>
                <w:szCs w:val="24"/>
              </w:rPr>
              <w:t>17.</w:t>
            </w:r>
            <w:r>
              <w:rPr>
                <w:rFonts w:hint="eastAsia" w:eastAsia="仿宋_GB2312" w:cs="仿宋_GB2312"/>
                <w:snapToGrid w:val="0"/>
                <w:kern w:val="0"/>
                <w:sz w:val="24"/>
                <w:szCs w:val="24"/>
              </w:rPr>
              <w:t>风险交流</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w:t>
            </w:r>
            <w:r>
              <w:rPr>
                <w:rFonts w:hint="eastAsia" w:eastAsia="仿宋_GB2312" w:cs="仿宋_GB2312"/>
                <w:snapToGrid w:val="0"/>
                <w:kern w:val="0"/>
                <w:sz w:val="24"/>
                <w:szCs w:val="24"/>
              </w:rPr>
              <w:t>分）</w:t>
            </w: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51</w:t>
            </w:r>
            <w:r>
              <w:rPr>
                <w:rFonts w:hint="eastAsia" w:eastAsia="仿宋_GB2312" w:cs="仿宋_GB2312"/>
                <w:snapToGrid w:val="0"/>
                <w:kern w:val="0"/>
                <w:sz w:val="24"/>
                <w:szCs w:val="24"/>
              </w:rPr>
              <w:t>）组织相关部门、风险评估专家委员会及其技术机构，和食品生产经营者、食品检验机构、认证机构、食品行业协会、消费者协会、新闻媒体等，按照科学、客观、及时、公开原则，就食品安全风险评估信息和食品安全监督管理信息进行沟通交流。</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p>
          <w:p>
            <w:pPr>
              <w:jc w:val="center"/>
              <w:rPr>
                <w:rFonts w:eastAsia="仿宋_GB2312"/>
                <w:snapToGrid w:val="0"/>
                <w:kern w:val="0"/>
                <w:sz w:val="24"/>
                <w:szCs w:val="24"/>
              </w:rPr>
            </w:pPr>
            <w:r>
              <w:rPr>
                <w:rFonts w:hint="eastAsia" w:eastAsia="仿宋_GB2312" w:cs="仿宋_GB2312"/>
                <w:snapToGrid w:val="0"/>
                <w:kern w:val="0"/>
                <w:sz w:val="24"/>
                <w:szCs w:val="24"/>
              </w:rPr>
              <w:t>市政府食品安全办</w:t>
            </w:r>
          </w:p>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市政府食品安全委员会各有关成员单位，各县（市、区）人民政府、曲靖经开区管委会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18.</w:t>
            </w:r>
            <w:r>
              <w:rPr>
                <w:rFonts w:hint="eastAsia" w:eastAsia="仿宋_GB2312" w:cs="仿宋_GB2312"/>
                <w:snapToGrid w:val="0"/>
                <w:kern w:val="0"/>
                <w:sz w:val="24"/>
                <w:szCs w:val="24"/>
              </w:rPr>
              <w:t>科技支撑</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2</w:t>
            </w:r>
            <w:r>
              <w:rPr>
                <w:rFonts w:hint="eastAsia" w:eastAsia="仿宋_GB2312" w:cs="仿宋_GB2312"/>
                <w:snapToGrid w:val="0"/>
                <w:kern w:val="0"/>
                <w:sz w:val="24"/>
                <w:szCs w:val="24"/>
              </w:rPr>
              <w:t>分）</w:t>
            </w: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52</w:t>
            </w:r>
            <w:r>
              <w:rPr>
                <w:rFonts w:hint="eastAsia" w:eastAsia="仿宋_GB2312" w:cs="仿宋_GB2312"/>
                <w:snapToGrid w:val="0"/>
                <w:kern w:val="0"/>
                <w:sz w:val="24"/>
                <w:szCs w:val="24"/>
              </w:rPr>
              <w:t>）建成国内一流的食品安全技术支撑机构或重点实验室、技术创新中心等，支持食品安全科技创新研究。</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市科技局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53</w:t>
            </w:r>
            <w:r>
              <w:rPr>
                <w:rFonts w:hint="eastAsia" w:eastAsia="仿宋_GB2312" w:cs="仿宋_GB2312"/>
                <w:snapToGrid w:val="0"/>
                <w:kern w:val="0"/>
                <w:sz w:val="24"/>
                <w:szCs w:val="24"/>
              </w:rPr>
              <w:t>）将食品安全纳入本地科技计划，加强食品安全领域科技创新，引导食品企业加大科研投入，完善科技成果转化应用机制。</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市科技局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54</w:t>
            </w:r>
            <w:r>
              <w:rPr>
                <w:rFonts w:hint="eastAsia" w:eastAsia="仿宋_GB2312" w:cs="仿宋_GB2312"/>
                <w:snapToGrid w:val="0"/>
                <w:kern w:val="0"/>
                <w:sz w:val="24"/>
                <w:szCs w:val="24"/>
              </w:rPr>
              <w:t>）加强进口冷链食品追溯管理平台建设，开展追溯演练，实现快速精准追溯。</w:t>
            </w:r>
          </w:p>
        </w:tc>
        <w:tc>
          <w:tcPr>
            <w:tcW w:w="2010" w:type="dxa"/>
            <w:vAlign w:val="center"/>
          </w:tcPr>
          <w:p>
            <w:pPr>
              <w:widowControl/>
              <w:adjustRightInd w:val="0"/>
              <w:snapToGrid w:val="0"/>
              <w:jc w:val="left"/>
              <w:rPr>
                <w:rFonts w:eastAsia="仿宋_GB2312"/>
                <w:snapToGrid w:val="0"/>
                <w:kern w:val="0"/>
                <w:sz w:val="24"/>
                <w:szCs w:val="24"/>
              </w:rPr>
            </w:pPr>
            <w:r>
              <w:rPr>
                <w:rFonts w:hint="eastAsia" w:eastAsia="仿宋_GB2312" w:cs="仿宋_GB2312"/>
                <w:snapToGrid w:val="0"/>
                <w:kern w:val="0"/>
                <w:sz w:val="24"/>
                <w:szCs w:val="24"/>
              </w:rPr>
              <w:t>查看进口冷链食品追溯管理平台</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0" w:type="dxa"/>
            <w:gridSpan w:val="5"/>
            <w:vAlign w:val="center"/>
          </w:tcPr>
          <w:p>
            <w:pPr>
              <w:snapToGrid w:val="0"/>
              <w:jc w:val="left"/>
              <w:rPr>
                <w:rFonts w:eastAsia="仿宋_GB2312"/>
                <w:snapToGrid w:val="0"/>
                <w:kern w:val="0"/>
                <w:sz w:val="24"/>
                <w:szCs w:val="24"/>
              </w:rPr>
            </w:pPr>
            <w:r>
              <w:rPr>
                <w:rFonts w:hint="eastAsia" w:eastAsia="仿宋_GB2312" w:cs="仿宋_GB2312"/>
                <w:b/>
                <w:bCs/>
                <w:snapToGrid w:val="0"/>
                <w:kern w:val="0"/>
                <w:sz w:val="24"/>
                <w:szCs w:val="24"/>
              </w:rPr>
              <w:t>三、生产经营状况（</w:t>
            </w:r>
            <w:r>
              <w:rPr>
                <w:rFonts w:eastAsia="仿宋_GB2312"/>
                <w:b/>
                <w:bCs/>
                <w:snapToGrid w:val="0"/>
                <w:kern w:val="0"/>
                <w:sz w:val="24"/>
                <w:szCs w:val="24"/>
              </w:rPr>
              <w:t>15</w:t>
            </w:r>
            <w:r>
              <w:rPr>
                <w:rFonts w:hint="eastAsia" w:eastAsia="仿宋_GB2312" w:cs="仿宋_GB2312"/>
                <w:b/>
                <w:bCs/>
                <w:snapToGrid w:val="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19.</w:t>
            </w:r>
            <w:r>
              <w:rPr>
                <w:rFonts w:hint="eastAsia" w:eastAsia="仿宋_GB2312" w:cs="仿宋_GB2312"/>
                <w:snapToGrid w:val="0"/>
                <w:kern w:val="0"/>
                <w:sz w:val="24"/>
                <w:szCs w:val="24"/>
              </w:rPr>
              <w:t>管理责任</w:t>
            </w:r>
          </w:p>
          <w:p>
            <w:pPr>
              <w:jc w:val="center"/>
              <w:rPr>
                <w:rFonts w:eastAsia="仿宋_GB2312"/>
                <w:snapToGrid w:val="0"/>
                <w:kern w:val="0"/>
                <w:sz w:val="24"/>
                <w:szCs w:val="24"/>
              </w:rPr>
            </w:pPr>
            <w:r>
              <w:rPr>
                <w:snapToGrid w:val="0"/>
                <w:kern w:val="0"/>
              </w:rPr>
              <mc:AlternateContent>
                <mc:Choice Requires="wps">
                  <w:drawing>
                    <wp:anchor distT="0" distB="0" distL="114300" distR="114300" simplePos="0" relativeHeight="251661312" behindDoc="0" locked="0" layoutInCell="1" allowOverlap="1">
                      <wp:simplePos x="0" y="0"/>
                      <wp:positionH relativeFrom="column">
                        <wp:posOffset>-696595</wp:posOffset>
                      </wp:positionH>
                      <wp:positionV relativeFrom="paragraph">
                        <wp:posOffset>1255395</wp:posOffset>
                      </wp:positionV>
                      <wp:extent cx="769620" cy="347345"/>
                      <wp:effectExtent l="211455" t="0" r="0" b="0"/>
                      <wp:wrapNone/>
                      <wp:docPr id="4" name="文本框 17"/>
                      <wp:cNvGraphicFramePr/>
                      <a:graphic xmlns:a="http://schemas.openxmlformats.org/drawingml/2006/main">
                        <a:graphicData uri="http://schemas.microsoft.com/office/word/2010/wordprocessingShape">
                          <wps:wsp>
                            <wps:cNvSpPr txBox="1"/>
                            <wps:spPr>
                              <a:xfrm rot="5400000">
                                <a:off x="0" y="0"/>
                                <a:ext cx="769620" cy="347345"/>
                              </a:xfrm>
                              <a:prstGeom prst="rect">
                                <a:avLst/>
                              </a:prstGeom>
                              <a:noFill/>
                              <a:ln w="6350">
                                <a:noFill/>
                              </a:ln>
                            </wps:spPr>
                            <wps:txbx>
                              <w:txbxContent>
                                <w:p>
                                  <w:pPr>
                                    <w:rPr>
                                      <w:sz w:val="28"/>
                                      <w:szCs w:val="28"/>
                                    </w:rPr>
                                  </w:pPr>
                                  <w:r>
                                    <w:rPr>
                                      <w:sz w:val="28"/>
                                      <w:szCs w:val="28"/>
                                    </w:rPr>
                                    <w:t>—21—</w:t>
                                  </w:r>
                                </w:p>
                              </w:txbxContent>
                            </wps:txbx>
                            <wps:bodyPr vert="eaVert" upright="1"/>
                          </wps:wsp>
                        </a:graphicData>
                      </a:graphic>
                    </wp:anchor>
                  </w:drawing>
                </mc:Choice>
                <mc:Fallback>
                  <w:pict>
                    <v:shape id="文本框 17" o:spid="_x0000_s1026" o:spt="202" type="#_x0000_t202" style="position:absolute;left:0pt;margin-left:-54.85pt;margin-top:98.85pt;height:27.35pt;width:60.6pt;rotation:5898240f;z-index:251661312;mso-width-relative:page;mso-height-relative:page;" filled="f" stroked="f" coordsize="21600,21600" o:gfxdata="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8TlcNoA&#10;AAALAQAADwAAAAAAAAABACAAAAAiAAAAZHJzL2Rvd25yZXYueG1sUEsBAhQAFAAAAAgAh07iQG0S&#10;fvWrAQAAJQMAAA4AAAAAAAAAAQAgAAAAKQEAAGRycy9lMm9Eb2MueG1sUEsFBgAAAAAGAAYAWQEA&#10;AEYFAAAAAA==&#10;">
                      <v:fill on="f" focussize="0,0"/>
                      <v:stroke on="f" weight="0.5pt"/>
                      <v:imagedata o:title=""/>
                      <o:lock v:ext="edit" aspectratio="f"/>
                      <v:textbox style="layout-flow:vertical-ideographic;">
                        <w:txbxContent>
                          <w:p>
                            <w:pPr>
                              <w:rPr>
                                <w:sz w:val="28"/>
                                <w:szCs w:val="28"/>
                              </w:rPr>
                            </w:pPr>
                            <w:r>
                              <w:rPr>
                                <w:sz w:val="28"/>
                                <w:szCs w:val="28"/>
                              </w:rPr>
                              <w:t>—21—</w:t>
                            </w:r>
                          </w:p>
                        </w:txbxContent>
                      </v:textbox>
                    </v:shape>
                  </w:pict>
                </mc:Fallback>
              </mc:AlternateContent>
            </w:r>
            <w:r>
              <w:rPr>
                <w:rFonts w:hint="eastAsia" w:eastAsia="仿宋_GB2312" w:cs="仿宋_GB2312"/>
                <w:snapToGrid w:val="0"/>
                <w:kern w:val="0"/>
                <w:sz w:val="24"/>
                <w:szCs w:val="24"/>
              </w:rPr>
              <w:t>（</w:t>
            </w:r>
            <w:r>
              <w:rPr>
                <w:rFonts w:eastAsia="仿宋_GB2312"/>
                <w:snapToGrid w:val="0"/>
                <w:kern w:val="0"/>
                <w:sz w:val="24"/>
                <w:szCs w:val="24"/>
              </w:rPr>
              <w:t>3</w:t>
            </w:r>
            <w:r>
              <w:rPr>
                <w:rFonts w:hint="eastAsia" w:eastAsia="仿宋_GB2312" w:cs="仿宋_GB2312"/>
                <w:snapToGrid w:val="0"/>
                <w:kern w:val="0"/>
                <w:sz w:val="24"/>
                <w:szCs w:val="24"/>
              </w:rPr>
              <w:t>分）</w:t>
            </w: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55</w:t>
            </w:r>
            <w:r>
              <w:rPr>
                <w:rFonts w:hint="eastAsia" w:eastAsia="仿宋_GB2312" w:cs="仿宋_GB2312"/>
                <w:snapToGrid w:val="0"/>
                <w:kern w:val="0"/>
                <w:sz w:val="24"/>
                <w:szCs w:val="24"/>
              </w:rPr>
              <w:t>）食品生产经营企业建立健全食品安全管理制度，设置食品质量安全管理岗位，加大食品质量安全管理投入。</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56</w:t>
            </w:r>
            <w:r>
              <w:rPr>
                <w:rFonts w:hint="eastAsia" w:eastAsia="仿宋_GB2312" w:cs="仿宋_GB2312"/>
                <w:snapToGrid w:val="0"/>
                <w:kern w:val="0"/>
                <w:sz w:val="24"/>
                <w:szCs w:val="24"/>
              </w:rPr>
              <w:t>）食品生产经营企业定期对从业人员及食品质量安全管理岗位人员开展培训考核，本地区食品生产经营单位负责人、食品质量安全管理岗位人员每年参加食品质量安全法律法规等集中培训不低于</w:t>
            </w:r>
            <w:r>
              <w:rPr>
                <w:rFonts w:eastAsia="仿宋_GB2312"/>
                <w:snapToGrid w:val="0"/>
                <w:kern w:val="0"/>
                <w:sz w:val="24"/>
                <w:szCs w:val="24"/>
              </w:rPr>
              <w:t>40</w:t>
            </w:r>
            <w:r>
              <w:rPr>
                <w:rFonts w:hint="eastAsia" w:eastAsia="仿宋_GB2312" w:cs="仿宋_GB2312"/>
                <w:snapToGrid w:val="0"/>
                <w:kern w:val="0"/>
                <w:sz w:val="24"/>
                <w:szCs w:val="24"/>
              </w:rPr>
              <w:t>学时，监督抽查考核合格率达到</w:t>
            </w:r>
            <w:r>
              <w:rPr>
                <w:rFonts w:eastAsia="仿宋_GB2312"/>
                <w:snapToGrid w:val="0"/>
                <w:kern w:val="0"/>
                <w:sz w:val="24"/>
                <w:szCs w:val="24"/>
              </w:rPr>
              <w:t>95%</w:t>
            </w:r>
            <w:r>
              <w:rPr>
                <w:rFonts w:hint="eastAsia" w:eastAsia="仿宋_GB2312" w:cs="仿宋_GB2312"/>
                <w:snapToGrid w:val="0"/>
                <w:kern w:val="0"/>
                <w:sz w:val="24"/>
                <w:szCs w:val="24"/>
              </w:rPr>
              <w:t>以上。</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p>
            <w:pPr>
              <w:jc w:val="center"/>
              <w:rPr>
                <w:rFonts w:eastAsia="仿宋_GB2312"/>
                <w:snapToGrid w:val="0"/>
                <w:kern w:val="0"/>
                <w:sz w:val="24"/>
                <w:szCs w:val="24"/>
              </w:rPr>
            </w:pPr>
            <w:r>
              <w:rPr>
                <w:rFonts w:hint="eastAsia" w:eastAsia="仿宋_GB2312" w:cs="仿宋_GB2312"/>
                <w:snapToGrid w:val="0"/>
                <w:kern w:val="0"/>
                <w:sz w:val="24"/>
                <w:szCs w:val="24"/>
              </w:rPr>
              <w:t>查看</w:t>
            </w:r>
            <w:r>
              <w:rPr>
                <w:rFonts w:hint="eastAsia" w:eastAsia="仿宋_GB2312"/>
                <w:snapToGrid w:val="0"/>
                <w:kern w:val="0"/>
                <w:sz w:val="24"/>
                <w:szCs w:val="24"/>
                <w:lang w:val="en" w:eastAsia="zh-CN"/>
              </w:rPr>
              <w:t>“</w:t>
            </w:r>
            <w:r>
              <w:rPr>
                <w:rFonts w:hint="eastAsia" w:eastAsia="仿宋_GB2312" w:cs="仿宋_GB2312"/>
                <w:snapToGrid w:val="0"/>
                <w:kern w:val="0"/>
                <w:sz w:val="24"/>
                <w:szCs w:val="24"/>
              </w:rPr>
              <w:t>食安员抽考</w:t>
            </w:r>
            <w:r>
              <w:rPr>
                <w:rFonts w:hint="eastAsia" w:eastAsia="仿宋_GB2312"/>
                <w:snapToGrid w:val="0"/>
                <w:kern w:val="0"/>
                <w:sz w:val="24"/>
                <w:szCs w:val="24"/>
                <w:lang w:eastAsia="zh-CN"/>
              </w:rPr>
              <w:t>”</w:t>
            </w:r>
            <w:r>
              <w:rPr>
                <w:rFonts w:eastAsia="仿宋_GB2312"/>
                <w:snapToGrid w:val="0"/>
                <w:kern w:val="0"/>
                <w:sz w:val="24"/>
                <w:szCs w:val="24"/>
              </w:rPr>
              <w:t>APP</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57</w:t>
            </w:r>
            <w:r>
              <w:rPr>
                <w:rFonts w:hint="eastAsia" w:eastAsia="仿宋_GB2312" w:cs="仿宋_GB2312"/>
                <w:snapToGrid w:val="0"/>
                <w:kern w:val="0"/>
                <w:sz w:val="24"/>
                <w:szCs w:val="24"/>
              </w:rPr>
              <w:t>）食品小作坊、小餐饮、食品摊贩依法登记建档或备案。</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20.</w:t>
            </w:r>
            <w:r>
              <w:rPr>
                <w:rFonts w:hint="eastAsia" w:eastAsia="仿宋_GB2312" w:cs="仿宋_GB2312"/>
                <w:snapToGrid w:val="0"/>
                <w:kern w:val="0"/>
                <w:sz w:val="24"/>
                <w:szCs w:val="24"/>
              </w:rPr>
              <w:t>过程控制</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9</w:t>
            </w:r>
            <w:r>
              <w:rPr>
                <w:rFonts w:hint="eastAsia" w:eastAsia="仿宋_GB2312" w:cs="仿宋_GB2312"/>
                <w:snapToGrid w:val="0"/>
                <w:kern w:val="0"/>
                <w:sz w:val="24"/>
                <w:szCs w:val="24"/>
              </w:rPr>
              <w:t>分）</w:t>
            </w: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58</w:t>
            </w:r>
            <w:r>
              <w:rPr>
                <w:rFonts w:hint="eastAsia" w:eastAsia="仿宋_GB2312" w:cs="仿宋_GB2312"/>
                <w:snapToGrid w:val="0"/>
                <w:kern w:val="0"/>
                <w:sz w:val="24"/>
                <w:szCs w:val="24"/>
              </w:rPr>
              <w:t>）食品生产经营者依法对食品安全责任落实情况、食品安全状况进行自评自查，主动监测其上市产品质量安全状况，对存在隐患及时采取风险控制措施。食品生产企业自查风险报告率达到</w:t>
            </w:r>
            <w:r>
              <w:rPr>
                <w:rFonts w:eastAsia="仿宋_GB2312"/>
                <w:snapToGrid w:val="0"/>
                <w:kern w:val="0"/>
                <w:sz w:val="24"/>
                <w:szCs w:val="24"/>
              </w:rPr>
              <w:t>100%</w:t>
            </w:r>
            <w:r>
              <w:rPr>
                <w:rFonts w:hint="eastAsia" w:eastAsia="仿宋_GB2312" w:cs="仿宋_GB2312"/>
                <w:snapToGrid w:val="0"/>
                <w:kern w:val="0"/>
                <w:sz w:val="24"/>
                <w:szCs w:val="24"/>
              </w:rPr>
              <w:t>。接触直接入口食品的从业人员持有效健康证明上岗，生产加工经营过程严格执行食品生产经营安全相关规范要求。</w:t>
            </w:r>
            <w:r>
              <w:rPr>
                <w:snapToGrid w:val="0"/>
                <w:kern w:val="0"/>
              </w:rPr>
              <mc:AlternateContent>
                <mc:Choice Requires="wps">
                  <w:drawing>
                    <wp:anchor distT="0" distB="0" distL="114300" distR="114300" simplePos="0" relativeHeight="251664384" behindDoc="0" locked="0" layoutInCell="1" allowOverlap="1">
                      <wp:simplePos x="0" y="0"/>
                      <wp:positionH relativeFrom="column">
                        <wp:posOffset>-1901190</wp:posOffset>
                      </wp:positionH>
                      <wp:positionV relativeFrom="paragraph">
                        <wp:posOffset>-736600</wp:posOffset>
                      </wp:positionV>
                      <wp:extent cx="769620" cy="347345"/>
                      <wp:effectExtent l="211455" t="0" r="0" b="0"/>
                      <wp:wrapNone/>
                      <wp:docPr id="17" name="文本框 6"/>
                      <wp:cNvGraphicFramePr/>
                      <a:graphic xmlns:a="http://schemas.openxmlformats.org/drawingml/2006/main">
                        <a:graphicData uri="http://schemas.microsoft.com/office/word/2010/wordprocessingShape">
                          <wps:wsp>
                            <wps:cNvSpPr txBox="1"/>
                            <wps:spPr>
                              <a:xfrm rot="5400000">
                                <a:off x="0" y="0"/>
                                <a:ext cx="769620" cy="347345"/>
                              </a:xfrm>
                              <a:prstGeom prst="rect">
                                <a:avLst/>
                              </a:prstGeom>
                              <a:noFill/>
                              <a:ln w="6350">
                                <a:noFill/>
                              </a:ln>
                            </wps:spPr>
                            <wps:txbx>
                              <w:txbxContent>
                                <w:p>
                                  <w:pPr>
                                    <w:rPr>
                                      <w:sz w:val="28"/>
                                      <w:szCs w:val="28"/>
                                    </w:rPr>
                                  </w:pPr>
                                  <w:r>
                                    <w:rPr>
                                      <w:sz w:val="28"/>
                                      <w:szCs w:val="28"/>
                                    </w:rPr>
                                    <w:t>—2</w:t>
                                  </w:r>
                                  <w:r>
                                    <w:rPr>
                                      <w:rFonts w:hint="eastAsia"/>
                                      <w:sz w:val="28"/>
                                      <w:szCs w:val="28"/>
                                      <w:lang w:val="en-US" w:eastAsia="zh-CN"/>
                                    </w:rPr>
                                    <w:t>2</w:t>
                                  </w:r>
                                  <w:r>
                                    <w:rPr>
                                      <w:sz w:val="28"/>
                                      <w:szCs w:val="28"/>
                                    </w:rPr>
                                    <w:t>—</w:t>
                                  </w:r>
                                </w:p>
                              </w:txbxContent>
                            </wps:txbx>
                            <wps:bodyPr vert="eaVert" upright="1"/>
                          </wps:wsp>
                        </a:graphicData>
                      </a:graphic>
                    </wp:anchor>
                  </w:drawing>
                </mc:Choice>
                <mc:Fallback>
                  <w:pict>
                    <v:shape id="文本框 6" o:spid="_x0000_s1026" o:spt="202" type="#_x0000_t202" style="position:absolute;left:0pt;margin-left:-149.7pt;margin-top:-58pt;height:27.35pt;width:60.6pt;rotation:5898240f;z-index:251664384;mso-width-relative:page;mso-height-relative:page;" filled="f" stroked="f" coordsize="21600,21600" o:gfxdata="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xbh0I&#10;3AAAAA4BAAAPAAAAAAAAAAEAIAAAACIAAABkcnMvZG93bnJldi54bWxQSwECFAAUAAAACACHTuJA&#10;EGarFKsBAAAlAwAADgAAAAAAAAABACAAAAArAQAAZHJzL2Uyb0RvYy54bWxQSwUGAAAAAAYABgBZ&#10;AQAASAUAAAAA&#10;">
                      <v:fill on="f" focussize="0,0"/>
                      <v:stroke on="f" weight="0.5pt"/>
                      <v:imagedata o:title=""/>
                      <o:lock v:ext="edit" aspectratio="f"/>
                      <v:textbox style="layout-flow:vertical-ideographic;">
                        <w:txbxContent>
                          <w:p>
                            <w:pPr>
                              <w:rPr>
                                <w:sz w:val="28"/>
                                <w:szCs w:val="28"/>
                              </w:rPr>
                            </w:pPr>
                            <w:r>
                              <w:rPr>
                                <w:sz w:val="28"/>
                                <w:szCs w:val="28"/>
                              </w:rPr>
                              <w:t>—2</w:t>
                            </w:r>
                            <w:r>
                              <w:rPr>
                                <w:rFonts w:hint="eastAsia"/>
                                <w:sz w:val="28"/>
                                <w:szCs w:val="28"/>
                                <w:lang w:val="en-US" w:eastAsia="zh-CN"/>
                              </w:rPr>
                              <w:t>2</w:t>
                            </w:r>
                            <w:r>
                              <w:rPr>
                                <w:sz w:val="28"/>
                                <w:szCs w:val="28"/>
                              </w:rPr>
                              <w:t>—</w:t>
                            </w:r>
                          </w:p>
                        </w:txbxContent>
                      </v:textbox>
                    </v:shape>
                  </w:pict>
                </mc:Fallback>
              </mc:AlternateContent>
            </w:r>
          </w:p>
        </w:tc>
        <w:tc>
          <w:tcPr>
            <w:tcW w:w="2010" w:type="dxa"/>
            <w:vAlign w:val="center"/>
          </w:tcPr>
          <w:p>
            <w:pPr>
              <w:widowControl/>
              <w:adjustRightInd w:val="0"/>
              <w:snapToGrid w:val="0"/>
              <w:jc w:val="center"/>
              <w:rPr>
                <w:rFonts w:eastAsia="仿宋_GB2312"/>
                <w:snapToGrid w:val="0"/>
                <w:kern w:val="0"/>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59</w:t>
            </w:r>
            <w:r>
              <w:rPr>
                <w:rFonts w:hint="eastAsia" w:eastAsia="仿宋_GB2312" w:cs="仿宋_GB2312"/>
                <w:snapToGrid w:val="0"/>
                <w:kern w:val="0"/>
                <w:sz w:val="24"/>
                <w:szCs w:val="24"/>
              </w:rPr>
              <w:t>）规模以上食品生产企业、婴幼儿配方乳粉生产企业实施良好生产规范、危害分析与关键控制点体系等管理体系。</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60</w:t>
            </w:r>
            <w:r>
              <w:rPr>
                <w:rFonts w:hint="eastAsia" w:eastAsia="仿宋_GB2312" w:cs="仿宋_GB2312"/>
                <w:snapToGrid w:val="0"/>
                <w:kern w:val="0"/>
                <w:sz w:val="24"/>
                <w:szCs w:val="24"/>
              </w:rPr>
              <w:t>）婴幼儿配方乳粉生产企业主要原材料稳定可控，对供应商定期审核或建设自有自控奶源基地，产品出厂全项目批批自检。</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61</w:t>
            </w:r>
            <w:r>
              <w:rPr>
                <w:rFonts w:hint="eastAsia" w:eastAsia="仿宋_GB2312" w:cs="仿宋_GB2312"/>
                <w:snapToGrid w:val="0"/>
                <w:kern w:val="0"/>
                <w:sz w:val="24"/>
                <w:szCs w:val="24"/>
              </w:rPr>
              <w:t>）特殊食品生产企业严格按照注册或备案的技术要求组织生产，产品标签标识及说明书标注规范，与注册或备案内容一致。定期开展食品安全自查，自查报告率和发现问题整改率达到</w:t>
            </w:r>
            <w:r>
              <w:rPr>
                <w:rFonts w:eastAsia="仿宋_GB2312"/>
                <w:snapToGrid w:val="0"/>
                <w:kern w:val="0"/>
                <w:sz w:val="24"/>
                <w:szCs w:val="24"/>
              </w:rPr>
              <w:t>100%</w:t>
            </w:r>
            <w:r>
              <w:rPr>
                <w:rFonts w:hint="eastAsia" w:eastAsia="仿宋_GB2312" w:cs="仿宋_GB2312"/>
                <w:snapToGrid w:val="0"/>
                <w:kern w:val="0"/>
                <w:sz w:val="24"/>
                <w:szCs w:val="24"/>
              </w:rPr>
              <w:t>。</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62</w:t>
            </w:r>
            <w:r>
              <w:rPr>
                <w:rFonts w:hint="eastAsia" w:eastAsia="仿宋_GB2312" w:cs="仿宋_GB2312"/>
                <w:snapToGrid w:val="0"/>
                <w:kern w:val="0"/>
                <w:sz w:val="24"/>
                <w:szCs w:val="24"/>
              </w:rPr>
              <w:t>）超市开展</w:t>
            </w:r>
            <w:r>
              <w:rPr>
                <w:rFonts w:hint="eastAsia" w:eastAsia="仿宋_GB2312"/>
                <w:snapToGrid w:val="0"/>
                <w:kern w:val="0"/>
                <w:sz w:val="24"/>
                <w:szCs w:val="24"/>
                <w:lang w:val="en" w:eastAsia="zh-CN"/>
              </w:rPr>
              <w:t>“</w:t>
            </w:r>
            <w:r>
              <w:rPr>
                <w:rFonts w:hint="eastAsia" w:eastAsia="仿宋_GB2312" w:cs="仿宋_GB2312"/>
                <w:snapToGrid w:val="0"/>
                <w:kern w:val="0"/>
                <w:sz w:val="24"/>
                <w:szCs w:val="24"/>
              </w:rPr>
              <w:t>放心食品超市自我承诺</w:t>
            </w:r>
            <w:r>
              <w:rPr>
                <w:rFonts w:hint="eastAsia" w:eastAsia="仿宋_GB2312"/>
                <w:snapToGrid w:val="0"/>
                <w:kern w:val="0"/>
                <w:sz w:val="24"/>
                <w:szCs w:val="24"/>
                <w:lang w:eastAsia="zh-CN"/>
              </w:rPr>
              <w:t>”</w:t>
            </w:r>
            <w:r>
              <w:rPr>
                <w:rFonts w:hint="eastAsia" w:eastAsia="仿宋_GB2312" w:cs="仿宋_GB2312"/>
                <w:snapToGrid w:val="0"/>
                <w:kern w:val="0"/>
                <w:sz w:val="24"/>
                <w:szCs w:val="24"/>
              </w:rPr>
              <w:t>活动并定期开展自查。</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jc w:val="both"/>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63</w:t>
            </w:r>
            <w:r>
              <w:rPr>
                <w:rFonts w:hint="eastAsia" w:eastAsia="仿宋_GB2312" w:cs="仿宋_GB2312"/>
                <w:snapToGrid w:val="0"/>
                <w:kern w:val="0"/>
                <w:sz w:val="24"/>
                <w:szCs w:val="24"/>
              </w:rPr>
              <w:t>）食品经营者经营规范，无虚假夸大宣传行为。</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64</w:t>
            </w:r>
            <w:r>
              <w:rPr>
                <w:rFonts w:hint="eastAsia" w:eastAsia="仿宋_GB2312" w:cs="仿宋_GB2312"/>
                <w:snapToGrid w:val="0"/>
                <w:kern w:val="0"/>
                <w:sz w:val="24"/>
                <w:szCs w:val="24"/>
              </w:rPr>
              <w:t>）餐饮服务单位严格执行餐饮服务食品安全操作规范，经营过程、场所环境、人员管理等符合相关规定，餐厨垃圾集中收集处置。发展连锁经营和中央厨房，快餐、团餐等大众餐饮服务规范，餐饮行业标准化水平提升。</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p>
            <w:pPr>
              <w:jc w:val="center"/>
              <w:rPr>
                <w:rFonts w:eastAsia="仿宋_GB2312"/>
                <w:snapToGrid w:val="0"/>
                <w:kern w:val="0"/>
                <w:sz w:val="24"/>
                <w:szCs w:val="24"/>
              </w:rPr>
            </w:pPr>
            <w:r>
              <w:rPr>
                <w:rFonts w:hint="eastAsia" w:eastAsia="仿宋_GB2312" w:cs="仿宋_GB2312"/>
                <w:snapToGrid w:val="0"/>
                <w:kern w:val="0"/>
                <w:sz w:val="24"/>
                <w:szCs w:val="24"/>
              </w:rPr>
              <w:t>市城市管理局</w:t>
            </w:r>
          </w:p>
          <w:p>
            <w:pPr>
              <w:jc w:val="center"/>
              <w:rPr>
                <w:rFonts w:eastAsia="仿宋_GB2312"/>
                <w:snapToGrid w:val="0"/>
                <w:kern w:val="0"/>
                <w:sz w:val="24"/>
                <w:szCs w:val="24"/>
              </w:rPr>
            </w:pPr>
            <w:r>
              <w:rPr>
                <w:rFonts w:hint="eastAsia" w:eastAsia="仿宋_GB2312" w:cs="仿宋_GB2312"/>
                <w:snapToGrid w:val="0"/>
                <w:kern w:val="0"/>
                <w:sz w:val="24"/>
                <w:szCs w:val="24"/>
              </w:rPr>
              <w:t>市商务局</w:t>
            </w:r>
          </w:p>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65</w:t>
            </w:r>
            <w:r>
              <w:rPr>
                <w:rFonts w:hint="eastAsia" w:eastAsia="仿宋_GB2312" w:cs="仿宋_GB2312"/>
                <w:snapToGrid w:val="0"/>
                <w:kern w:val="0"/>
                <w:sz w:val="24"/>
                <w:szCs w:val="24"/>
              </w:rPr>
              <w:t>）学校食堂、校园及周边食品经营者严格执行食品经营安全相关规范要求，全面落实食品安全主体责任。</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市教育体育局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市市场监管局，各县（市、区）人民政府、曲靖经开区管委会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66</w:t>
            </w:r>
            <w:r>
              <w:rPr>
                <w:rFonts w:hint="eastAsia" w:eastAsia="仿宋_GB2312" w:cs="仿宋_GB2312"/>
                <w:snapToGrid w:val="0"/>
                <w:kern w:val="0"/>
                <w:sz w:val="24"/>
                <w:szCs w:val="24"/>
              </w:rPr>
              <w:t>）学校食堂以肉蛋奶、米面油等食品原料为重点，实行大宗食品集中定点采购制度。</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市教育体育局</w:t>
            </w:r>
          </w:p>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市财政局，各县（市、区）人民政府、曲靖经开区管委会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67</w:t>
            </w:r>
            <w:r>
              <w:rPr>
                <w:rFonts w:hint="eastAsia" w:eastAsia="仿宋_GB2312" w:cs="仿宋_GB2312"/>
                <w:snapToGrid w:val="0"/>
                <w:kern w:val="0"/>
                <w:sz w:val="24"/>
                <w:szCs w:val="24"/>
              </w:rPr>
              <w:t>）食用农产品集中交易市场开办者落实食品安全管理责任，建立健全食品安全管理制度，履行入场销售者登记、市场自查、信息公示、督促入场销售者依法依规从事销售活动等管理责任。</w:t>
            </w:r>
            <w:r>
              <w:rPr>
                <w:snapToGrid w:val="0"/>
                <w:kern w:val="0"/>
              </w:rPr>
              <mc:AlternateContent>
                <mc:Choice Requires="wps">
                  <w:drawing>
                    <wp:anchor distT="0" distB="0" distL="114300" distR="114300" simplePos="0" relativeHeight="251665408" behindDoc="0" locked="0" layoutInCell="1" allowOverlap="1">
                      <wp:simplePos x="0" y="0"/>
                      <wp:positionH relativeFrom="column">
                        <wp:posOffset>-1896745</wp:posOffset>
                      </wp:positionH>
                      <wp:positionV relativeFrom="paragraph">
                        <wp:posOffset>2037715</wp:posOffset>
                      </wp:positionV>
                      <wp:extent cx="769620" cy="347345"/>
                      <wp:effectExtent l="211455" t="0" r="0" b="0"/>
                      <wp:wrapNone/>
                      <wp:docPr id="10" name="文本框 19"/>
                      <wp:cNvGraphicFramePr/>
                      <a:graphic xmlns:a="http://schemas.openxmlformats.org/drawingml/2006/main">
                        <a:graphicData uri="http://schemas.microsoft.com/office/word/2010/wordprocessingShape">
                          <wps:wsp>
                            <wps:cNvSpPr txBox="1"/>
                            <wps:spPr>
                              <a:xfrm rot="5400000">
                                <a:off x="0" y="0"/>
                                <a:ext cx="769620" cy="347345"/>
                              </a:xfrm>
                              <a:prstGeom prst="rect">
                                <a:avLst/>
                              </a:prstGeom>
                              <a:noFill/>
                              <a:ln w="6350">
                                <a:noFill/>
                              </a:ln>
                            </wps:spPr>
                            <wps:txbx>
                              <w:txbxContent>
                                <w:p>
                                  <w:pPr>
                                    <w:rPr>
                                      <w:sz w:val="28"/>
                                      <w:szCs w:val="28"/>
                                    </w:rPr>
                                  </w:pPr>
                                  <w:r>
                                    <w:rPr>
                                      <w:sz w:val="28"/>
                                      <w:szCs w:val="28"/>
                                    </w:rPr>
                                    <w:t>—23—</w:t>
                                  </w:r>
                                </w:p>
                              </w:txbxContent>
                            </wps:txbx>
                            <wps:bodyPr vert="eaVert" upright="1"/>
                          </wps:wsp>
                        </a:graphicData>
                      </a:graphic>
                    </wp:anchor>
                  </w:drawing>
                </mc:Choice>
                <mc:Fallback>
                  <w:pict>
                    <v:shape id="文本框 19" o:spid="_x0000_s1026" o:spt="202" type="#_x0000_t202" style="position:absolute;left:0pt;margin-left:-149.35pt;margin-top:160.45pt;height:27.35pt;width:60.6pt;rotation:5898240f;z-index:251665408;mso-width-relative:page;mso-height-relative:page;" filled="f" stroked="f" coordsize="21600,21600" o:gfxdata="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IgdY&#10;3AAAAA0BAAAPAAAAAAAAAAEAIAAAACIAAABkcnMvZG93bnJldi54bWxQSwECFAAUAAAACACHTuJA&#10;bc9qQKsBAAAmAwAADgAAAAAAAAABACAAAAArAQAAZHJzL2Uyb0RvYy54bWxQSwUGAAAAAAYABgBZ&#10;AQAASAUAAAAA&#10;">
                      <v:fill on="f" focussize="0,0"/>
                      <v:stroke on="f" weight="0.5pt"/>
                      <v:imagedata o:title=""/>
                      <o:lock v:ext="edit" aspectratio="f"/>
                      <v:textbox style="layout-flow:vertical-ideographic;">
                        <w:txbxContent>
                          <w:p>
                            <w:pPr>
                              <w:rPr>
                                <w:sz w:val="28"/>
                                <w:szCs w:val="28"/>
                              </w:rPr>
                            </w:pPr>
                            <w:r>
                              <w:rPr>
                                <w:sz w:val="28"/>
                                <w:szCs w:val="28"/>
                              </w:rPr>
                              <w:t>—23—</w:t>
                            </w:r>
                          </w:p>
                        </w:txbxContent>
                      </v:textbox>
                    </v:shape>
                  </w:pict>
                </mc:Fallback>
              </mc:AlternateConten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市商务局，各县（市、区）人民政府、曲靖经开区管委会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68</w:t>
            </w:r>
            <w:r>
              <w:rPr>
                <w:rFonts w:hint="eastAsia" w:eastAsia="仿宋_GB2312" w:cs="仿宋_GB2312"/>
                <w:snapToGrid w:val="0"/>
                <w:kern w:val="0"/>
                <w:sz w:val="24"/>
                <w:szCs w:val="24"/>
              </w:rPr>
              <w:t>）食品销售连锁企业总部、大型食品批发企业、食品批发市场开办者建立并落实食品安全自查制度，自查报告率达到</w:t>
            </w:r>
            <w:r>
              <w:rPr>
                <w:rFonts w:eastAsia="仿宋_GB2312"/>
                <w:snapToGrid w:val="0"/>
                <w:kern w:val="0"/>
                <w:sz w:val="24"/>
                <w:szCs w:val="24"/>
              </w:rPr>
              <w:t>100%</w:t>
            </w:r>
            <w:r>
              <w:rPr>
                <w:rFonts w:hint="eastAsia" w:eastAsia="仿宋_GB2312" w:cs="仿宋_GB2312"/>
                <w:snapToGrid w:val="0"/>
                <w:kern w:val="0"/>
                <w:sz w:val="24"/>
                <w:szCs w:val="24"/>
              </w:rPr>
              <w:t>。</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市商务局，各县（市、区）人民政府、曲靖经开区管委会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Merge w:val="continue"/>
            <w:vAlign w:val="center"/>
          </w:tcPr>
          <w:p>
            <w:pPr>
              <w:ind w:left="320" w:leftChars="100"/>
              <w:jc w:val="center"/>
              <w:rPr>
                <w:rFonts w:eastAsia="仿宋_GB2312"/>
                <w:snapToGrid w:val="0"/>
                <w:kern w:val="0"/>
                <w:sz w:val="24"/>
                <w:szCs w:val="24"/>
              </w:rPr>
            </w:pPr>
          </w:p>
        </w:tc>
        <w:tc>
          <w:tcPr>
            <w:tcW w:w="4769" w:type="dxa"/>
            <w:vAlign w:val="center"/>
          </w:tcPr>
          <w:p>
            <w:pP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69</w:t>
            </w:r>
            <w:r>
              <w:rPr>
                <w:rFonts w:hint="eastAsia" w:eastAsia="仿宋_GB2312" w:cs="仿宋_GB2312"/>
                <w:snapToGrid w:val="0"/>
                <w:kern w:val="0"/>
                <w:sz w:val="24"/>
                <w:szCs w:val="24"/>
              </w:rPr>
              <w:t>）网络订餐第三方平台落实食品安全自查制度，对入网餐饮服务经营者进行实名登记、入网审查、信息公示和抽查监测等。完善网络订餐在线投诉和售后维权机制。严格落实广告发布责任和要求。</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890" w:type="dxa"/>
            <w:vAlign w:val="center"/>
          </w:tcPr>
          <w:p>
            <w:pPr>
              <w:jc w:val="center"/>
              <w:rPr>
                <w:rFonts w:eastAsia="仿宋_GB2312"/>
                <w:snapToGrid w:val="0"/>
                <w:kern w:val="0"/>
                <w:sz w:val="24"/>
                <w:szCs w:val="24"/>
              </w:rPr>
            </w:pPr>
            <w:r>
              <w:rPr>
                <w:rFonts w:eastAsia="仿宋_GB2312"/>
                <w:snapToGrid w:val="0"/>
                <w:kern w:val="0"/>
                <w:sz w:val="24"/>
                <w:szCs w:val="24"/>
              </w:rPr>
              <w:t>21.</w:t>
            </w:r>
            <w:r>
              <w:rPr>
                <w:rFonts w:hint="eastAsia" w:eastAsia="仿宋_GB2312" w:cs="仿宋_GB2312"/>
                <w:snapToGrid w:val="0"/>
                <w:kern w:val="0"/>
                <w:sz w:val="24"/>
                <w:szCs w:val="24"/>
              </w:rPr>
              <w:t>产品追溯</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w:t>
            </w:r>
            <w:r>
              <w:rPr>
                <w:rFonts w:hint="eastAsia" w:eastAsia="仿宋_GB2312" w:cs="仿宋_GB2312"/>
                <w:snapToGrid w:val="0"/>
                <w:kern w:val="0"/>
                <w:sz w:val="24"/>
                <w:szCs w:val="24"/>
              </w:rPr>
              <w:t>分）</w:t>
            </w: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70</w:t>
            </w:r>
            <w:r>
              <w:rPr>
                <w:rFonts w:hint="eastAsia" w:eastAsia="仿宋_GB2312" w:cs="仿宋_GB2312"/>
                <w:snapToGrid w:val="0"/>
                <w:kern w:val="0"/>
                <w:sz w:val="24"/>
                <w:szCs w:val="24"/>
              </w:rPr>
              <w:t>）食品生产经营者建立健全食品安全追溯体系，确保记录真实完整，产品来源可查、去向可追。</w:t>
            </w:r>
            <w:r>
              <w:rPr>
                <w:snapToGrid w:val="0"/>
                <w:kern w:val="0"/>
              </w:rPr>
              <mc:AlternateContent>
                <mc:Choice Requires="wps">
                  <w:drawing>
                    <wp:anchor distT="0" distB="0" distL="114300" distR="114300" simplePos="0" relativeHeight="251670528" behindDoc="0" locked="0" layoutInCell="1" allowOverlap="1">
                      <wp:simplePos x="0" y="0"/>
                      <wp:positionH relativeFrom="column">
                        <wp:posOffset>-1853565</wp:posOffset>
                      </wp:positionH>
                      <wp:positionV relativeFrom="paragraph">
                        <wp:posOffset>-245110</wp:posOffset>
                      </wp:positionV>
                      <wp:extent cx="769620" cy="347345"/>
                      <wp:effectExtent l="211455" t="0" r="0" b="0"/>
                      <wp:wrapNone/>
                      <wp:docPr id="11" name="文本框 8"/>
                      <wp:cNvGraphicFramePr/>
                      <a:graphic xmlns:a="http://schemas.openxmlformats.org/drawingml/2006/main">
                        <a:graphicData uri="http://schemas.microsoft.com/office/word/2010/wordprocessingShape">
                          <wps:wsp>
                            <wps:cNvSpPr txBox="1"/>
                            <wps:spPr>
                              <a:xfrm rot="5400000">
                                <a:off x="0" y="0"/>
                                <a:ext cx="769620" cy="347345"/>
                              </a:xfrm>
                              <a:prstGeom prst="rect">
                                <a:avLst/>
                              </a:prstGeom>
                              <a:noFill/>
                              <a:ln w="6350">
                                <a:noFill/>
                              </a:ln>
                            </wps:spPr>
                            <wps:txbx>
                              <w:txbxContent>
                                <w:p>
                                  <w:pPr>
                                    <w:rPr>
                                      <w:sz w:val="28"/>
                                      <w:szCs w:val="28"/>
                                    </w:rPr>
                                  </w:pPr>
                                  <w:r>
                                    <w:rPr>
                                      <w:sz w:val="28"/>
                                      <w:szCs w:val="28"/>
                                    </w:rPr>
                                    <w:t>—24—</w:t>
                                  </w:r>
                                </w:p>
                              </w:txbxContent>
                            </wps:txbx>
                            <wps:bodyPr vert="eaVert" upright="1"/>
                          </wps:wsp>
                        </a:graphicData>
                      </a:graphic>
                    </wp:anchor>
                  </w:drawing>
                </mc:Choice>
                <mc:Fallback>
                  <w:pict>
                    <v:shape id="文本框 8" o:spid="_x0000_s1026" o:spt="202" type="#_x0000_t202" style="position:absolute;left:0pt;margin-left:-145.95pt;margin-top:-19.3pt;height:27.35pt;width:60.6pt;rotation:5898240f;z-index:251670528;mso-width-relative:page;mso-height-relative:page;" filled="f" stroked="f" coordsize="21600,21600" o:gfxdata="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t1fXb&#10;AAAADAEAAA8AAAAAAAAAAQAgAAAAIgAAAGRycy9kb3ducmV2LnhtbFBLAQIUABQAAAAIAIdO4kAU&#10;r5CEqwEAACUDAAAOAAAAAAAAAAEAIAAAACoBAABkcnMvZTJvRG9jLnhtbFBLBQYAAAAABgAGAFkB&#10;AABHBQAAAAA=&#10;">
                      <v:fill on="f" focussize="0,0"/>
                      <v:stroke on="f" weight="0.5pt"/>
                      <v:imagedata o:title=""/>
                      <o:lock v:ext="edit" aspectratio="f"/>
                      <v:textbox style="layout-flow:vertical-ideographic;">
                        <w:txbxContent>
                          <w:p>
                            <w:pPr>
                              <w:rPr>
                                <w:sz w:val="28"/>
                                <w:szCs w:val="28"/>
                              </w:rPr>
                            </w:pPr>
                            <w:r>
                              <w:rPr>
                                <w:sz w:val="28"/>
                                <w:szCs w:val="28"/>
                              </w:rPr>
                              <w:t>—24—</w:t>
                            </w:r>
                          </w:p>
                        </w:txbxContent>
                      </v:textbox>
                    </v:shape>
                  </w:pict>
                </mc:Fallback>
              </mc:AlternateConten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市农业农村局，各县（市、区）人民政府、曲靖经开区管委会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890" w:type="dxa"/>
            <w:vAlign w:val="center"/>
          </w:tcPr>
          <w:p>
            <w:pPr>
              <w:jc w:val="center"/>
              <w:rPr>
                <w:rFonts w:eastAsia="仿宋_GB2312"/>
                <w:snapToGrid w:val="0"/>
                <w:kern w:val="0"/>
                <w:sz w:val="24"/>
                <w:szCs w:val="24"/>
              </w:rPr>
            </w:pPr>
            <w:r>
              <w:rPr>
                <w:rFonts w:eastAsia="仿宋_GB2312"/>
                <w:snapToGrid w:val="0"/>
                <w:kern w:val="0"/>
                <w:sz w:val="24"/>
                <w:szCs w:val="24"/>
              </w:rPr>
              <w:t>22.</w:t>
            </w:r>
            <w:r>
              <w:rPr>
                <w:rFonts w:hint="eastAsia" w:eastAsia="仿宋_GB2312" w:cs="仿宋_GB2312"/>
                <w:snapToGrid w:val="0"/>
                <w:kern w:val="0"/>
                <w:sz w:val="24"/>
                <w:szCs w:val="24"/>
              </w:rPr>
              <w:t>责任保险</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71</w:t>
            </w:r>
            <w:r>
              <w:rPr>
                <w:rFonts w:hint="eastAsia" w:eastAsia="仿宋_GB2312" w:cs="仿宋_GB2312"/>
                <w:snapToGrid w:val="0"/>
                <w:kern w:val="0"/>
                <w:sz w:val="24"/>
                <w:szCs w:val="24"/>
              </w:rPr>
              <w:t>）肉蛋奶和白酒生产企业、学校食堂、农村集体聚餐、集体用餐配送单位和中央厨房主动购买食品安全责任保险，有条件的中小企业积极投保食品安全责任保险。</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资料审查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曲靖银保监分局</w:t>
            </w:r>
          </w:p>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市教育体育局、市市场监管局，各县（市、区）人民政府、曲靖经开区管委会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890" w:type="dxa"/>
            <w:vAlign w:val="center"/>
          </w:tcPr>
          <w:p>
            <w:pPr>
              <w:snapToGrid w:val="0"/>
              <w:jc w:val="center"/>
              <w:rPr>
                <w:rFonts w:eastAsia="仿宋_GB2312"/>
                <w:snapToGrid w:val="0"/>
                <w:kern w:val="0"/>
                <w:sz w:val="24"/>
                <w:szCs w:val="24"/>
              </w:rPr>
            </w:pPr>
            <w:r>
              <w:rPr>
                <w:rFonts w:eastAsia="仿宋_GB2312"/>
                <w:snapToGrid w:val="0"/>
                <w:kern w:val="0"/>
                <w:sz w:val="24"/>
                <w:szCs w:val="24"/>
              </w:rPr>
              <w:t>23.</w:t>
            </w:r>
            <w:r>
              <w:rPr>
                <w:rFonts w:hint="eastAsia" w:eastAsia="仿宋_GB2312" w:cs="仿宋_GB2312"/>
                <w:snapToGrid w:val="0"/>
                <w:kern w:val="0"/>
                <w:sz w:val="24"/>
                <w:szCs w:val="24"/>
              </w:rPr>
              <w:t>诚信文化</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highlight w:val="yellow"/>
              </w:rPr>
            </w:pPr>
            <w:r>
              <w:rPr>
                <w:rFonts w:hint="eastAsia" w:eastAsia="仿宋_GB2312" w:cs="仿宋_GB2312"/>
                <w:snapToGrid w:val="0"/>
                <w:kern w:val="0"/>
                <w:sz w:val="24"/>
                <w:szCs w:val="24"/>
              </w:rPr>
              <w:t>（</w:t>
            </w:r>
            <w:r>
              <w:rPr>
                <w:rFonts w:eastAsia="仿宋_GB2312"/>
                <w:snapToGrid w:val="0"/>
                <w:kern w:val="0"/>
                <w:sz w:val="24"/>
                <w:szCs w:val="24"/>
              </w:rPr>
              <w:t>72</w:t>
            </w:r>
            <w:r>
              <w:rPr>
                <w:rFonts w:hint="eastAsia" w:eastAsia="仿宋_GB2312" w:cs="仿宋_GB2312"/>
                <w:snapToGrid w:val="0"/>
                <w:kern w:val="0"/>
                <w:sz w:val="24"/>
                <w:szCs w:val="24"/>
              </w:rPr>
              <w:t>）食品生产经营企业开展诚信守法教育活动，建设诚信守法企业文化。</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现场检查</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市工业和信息化局</w:t>
            </w:r>
          </w:p>
          <w:p>
            <w:pPr>
              <w:jc w:val="center"/>
              <w:rPr>
                <w:rFonts w:eastAsia="仿宋_GB2312"/>
                <w:snapToGrid w:val="0"/>
                <w:kern w:val="0"/>
                <w:sz w:val="24"/>
                <w:szCs w:val="24"/>
              </w:rPr>
            </w:pPr>
            <w:r>
              <w:rPr>
                <w:rFonts w:hint="eastAsia" w:eastAsia="仿宋_GB2312" w:cs="仿宋_GB2312"/>
                <w:snapToGrid w:val="0"/>
                <w:kern w:val="0"/>
                <w:sz w:val="24"/>
                <w:szCs w:val="24"/>
              </w:rPr>
              <w:t>市商务局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240" w:type="dxa"/>
            <w:gridSpan w:val="5"/>
            <w:vAlign w:val="center"/>
          </w:tcPr>
          <w:p>
            <w:pPr>
              <w:snapToGrid w:val="0"/>
              <w:jc w:val="left"/>
              <w:rPr>
                <w:rFonts w:eastAsia="仿宋_GB2312"/>
                <w:snapToGrid w:val="0"/>
                <w:kern w:val="0"/>
                <w:sz w:val="24"/>
                <w:szCs w:val="24"/>
              </w:rPr>
            </w:pPr>
            <w:r>
              <w:rPr>
                <w:rFonts w:hint="eastAsia" w:eastAsia="仿宋_GB2312" w:cs="仿宋_GB2312"/>
                <w:b/>
                <w:bCs/>
                <w:snapToGrid w:val="0"/>
                <w:kern w:val="0"/>
                <w:sz w:val="24"/>
                <w:szCs w:val="24"/>
              </w:rPr>
              <w:t>四、食品安全状况（</w:t>
            </w:r>
            <w:r>
              <w:rPr>
                <w:rFonts w:eastAsia="仿宋_GB2312"/>
                <w:b/>
                <w:bCs/>
                <w:snapToGrid w:val="0"/>
                <w:kern w:val="0"/>
                <w:sz w:val="24"/>
                <w:szCs w:val="24"/>
              </w:rPr>
              <w:t>20</w:t>
            </w:r>
            <w:r>
              <w:rPr>
                <w:rFonts w:hint="eastAsia" w:eastAsia="仿宋_GB2312" w:cs="仿宋_GB2312"/>
                <w:b/>
                <w:bCs/>
                <w:snapToGrid w:val="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890" w:type="dxa"/>
            <w:vAlign w:val="center"/>
          </w:tcPr>
          <w:p>
            <w:pPr>
              <w:jc w:val="center"/>
              <w:rPr>
                <w:rFonts w:eastAsia="仿宋_GB2312"/>
                <w:snapToGrid w:val="0"/>
                <w:kern w:val="0"/>
                <w:sz w:val="24"/>
                <w:szCs w:val="24"/>
              </w:rPr>
            </w:pPr>
            <w:r>
              <w:rPr>
                <w:rFonts w:eastAsia="仿宋_GB2312"/>
                <w:snapToGrid w:val="0"/>
                <w:kern w:val="0"/>
                <w:sz w:val="24"/>
                <w:szCs w:val="24"/>
              </w:rPr>
              <w:t>24.</w:t>
            </w:r>
            <w:r>
              <w:rPr>
                <w:rFonts w:hint="eastAsia" w:eastAsia="仿宋_GB2312" w:cs="仿宋_GB2312"/>
                <w:snapToGrid w:val="0"/>
                <w:kern w:val="0"/>
                <w:sz w:val="24"/>
                <w:szCs w:val="24"/>
              </w:rPr>
              <w:t>群众满意度</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10</w:t>
            </w:r>
            <w:r>
              <w:rPr>
                <w:rFonts w:hint="eastAsia" w:eastAsia="仿宋_GB2312" w:cs="仿宋_GB2312"/>
                <w:snapToGrid w:val="0"/>
                <w:kern w:val="0"/>
                <w:sz w:val="24"/>
                <w:szCs w:val="24"/>
              </w:rPr>
              <w:t>分）</w:t>
            </w: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73</w:t>
            </w:r>
            <w:r>
              <w:rPr>
                <w:rFonts w:hint="eastAsia" w:eastAsia="仿宋_GB2312" w:cs="仿宋_GB2312"/>
                <w:snapToGrid w:val="0"/>
                <w:kern w:val="0"/>
                <w:sz w:val="24"/>
                <w:szCs w:val="24"/>
              </w:rPr>
              <w:t>）群众食品安全满意度达到</w:t>
            </w:r>
            <w:r>
              <w:rPr>
                <w:rFonts w:eastAsia="仿宋_GB2312"/>
                <w:snapToGrid w:val="0"/>
                <w:kern w:val="0"/>
                <w:sz w:val="24"/>
                <w:szCs w:val="24"/>
              </w:rPr>
              <w:t>80</w:t>
            </w:r>
            <w:r>
              <w:rPr>
                <w:rFonts w:hint="eastAsia" w:eastAsia="仿宋_GB2312" w:cs="仿宋_GB2312"/>
                <w:snapToGrid w:val="0"/>
                <w:kern w:val="0"/>
                <w:sz w:val="24"/>
                <w:szCs w:val="24"/>
              </w:rPr>
              <w:t>分以上，根据实际测评结果进行折算。</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委托第三方机构开展测评</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市政府食品安全办</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市政府食品安全委员会成员单位，各县（市、区）人民政府、曲靖经开区管委会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890" w:type="dxa"/>
            <w:vAlign w:val="center"/>
          </w:tcPr>
          <w:p>
            <w:pPr>
              <w:jc w:val="center"/>
              <w:rPr>
                <w:rFonts w:eastAsia="仿宋_GB2312"/>
                <w:snapToGrid w:val="0"/>
                <w:kern w:val="0"/>
                <w:sz w:val="24"/>
                <w:szCs w:val="24"/>
              </w:rPr>
            </w:pPr>
            <w:r>
              <w:rPr>
                <w:rFonts w:eastAsia="仿宋_GB2312"/>
                <w:snapToGrid w:val="0"/>
                <w:kern w:val="0"/>
                <w:sz w:val="24"/>
                <w:szCs w:val="24"/>
              </w:rPr>
              <w:t>25.</w:t>
            </w:r>
            <w:r>
              <w:rPr>
                <w:rFonts w:hint="eastAsia" w:eastAsia="仿宋_GB2312" w:cs="仿宋_GB2312"/>
                <w:snapToGrid w:val="0"/>
                <w:kern w:val="0"/>
                <w:sz w:val="24"/>
                <w:szCs w:val="24"/>
              </w:rPr>
              <w:t>创建知晓率</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w:t>
            </w:r>
            <w:r>
              <w:rPr>
                <w:rFonts w:hint="eastAsia" w:eastAsia="仿宋_GB2312" w:cs="仿宋_GB2312"/>
                <w:snapToGrid w:val="0"/>
                <w:kern w:val="0"/>
                <w:sz w:val="24"/>
                <w:szCs w:val="24"/>
              </w:rPr>
              <w:t>分）</w:t>
            </w: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74</w:t>
            </w:r>
            <w:r>
              <w:rPr>
                <w:rFonts w:hint="eastAsia" w:eastAsia="仿宋_GB2312" w:cs="仿宋_GB2312"/>
                <w:snapToGrid w:val="0"/>
                <w:kern w:val="0"/>
                <w:sz w:val="24"/>
                <w:szCs w:val="24"/>
              </w:rPr>
              <w:t>）食品安全示范创建工作知晓率达到</w:t>
            </w:r>
            <w:r>
              <w:rPr>
                <w:rFonts w:eastAsia="仿宋_GB2312"/>
                <w:snapToGrid w:val="0"/>
                <w:kern w:val="0"/>
                <w:sz w:val="24"/>
                <w:szCs w:val="24"/>
              </w:rPr>
              <w:t>85%</w:t>
            </w:r>
            <w:r>
              <w:rPr>
                <w:rFonts w:hint="eastAsia" w:eastAsia="仿宋_GB2312" w:cs="仿宋_GB2312"/>
                <w:snapToGrid w:val="0"/>
                <w:kern w:val="0"/>
                <w:sz w:val="24"/>
                <w:szCs w:val="24"/>
              </w:rPr>
              <w:t>以上，根据实际测评结果进行折算。</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委托第三方机构开展测评</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市委宣传部</w:t>
            </w:r>
          </w:p>
          <w:p>
            <w:pPr>
              <w:jc w:val="center"/>
              <w:rPr>
                <w:rFonts w:eastAsia="仿宋_GB2312"/>
                <w:snapToGrid w:val="0"/>
                <w:kern w:val="0"/>
                <w:sz w:val="24"/>
                <w:szCs w:val="24"/>
              </w:rPr>
            </w:pPr>
            <w:r>
              <w:rPr>
                <w:rFonts w:hint="eastAsia" w:eastAsia="仿宋_GB2312" w:cs="仿宋_GB2312"/>
                <w:snapToGrid w:val="0"/>
                <w:kern w:val="0"/>
                <w:sz w:val="24"/>
                <w:szCs w:val="24"/>
              </w:rPr>
              <w:t>市政府食品安全办</w:t>
            </w:r>
          </w:p>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市政府食品安全委员会成员单位，各县（市、区）人民政府、曲靖经开区管委会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90" w:type="dxa"/>
            <w:vAlign w:val="center"/>
          </w:tcPr>
          <w:p>
            <w:pPr>
              <w:jc w:val="center"/>
              <w:rPr>
                <w:rFonts w:eastAsia="仿宋_GB2312"/>
                <w:snapToGrid w:val="0"/>
                <w:kern w:val="0"/>
                <w:sz w:val="24"/>
                <w:szCs w:val="24"/>
              </w:rPr>
            </w:pPr>
            <w:r>
              <w:rPr>
                <w:rFonts w:eastAsia="仿宋_GB2312"/>
                <w:snapToGrid w:val="0"/>
                <w:kern w:val="0"/>
                <w:sz w:val="24"/>
                <w:szCs w:val="24"/>
              </w:rPr>
              <w:t>26.</w:t>
            </w:r>
            <w:r>
              <w:rPr>
                <w:rFonts w:hint="eastAsia" w:eastAsia="仿宋_GB2312" w:cs="仿宋_GB2312"/>
                <w:snapToGrid w:val="0"/>
                <w:kern w:val="0"/>
                <w:sz w:val="24"/>
                <w:szCs w:val="24"/>
              </w:rPr>
              <w:t>抽检合格率</w:t>
            </w:r>
          </w:p>
          <w:p>
            <w:pPr>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w:t>
            </w:r>
            <w:r>
              <w:rPr>
                <w:rFonts w:hint="eastAsia" w:eastAsia="仿宋_GB2312" w:cs="仿宋_GB2312"/>
                <w:snapToGrid w:val="0"/>
                <w:kern w:val="0"/>
                <w:sz w:val="24"/>
                <w:szCs w:val="24"/>
              </w:rPr>
              <w:t>分）</w:t>
            </w:r>
          </w:p>
        </w:tc>
        <w:tc>
          <w:tcPr>
            <w:tcW w:w="4769" w:type="dxa"/>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75</w:t>
            </w:r>
            <w:r>
              <w:rPr>
                <w:rFonts w:hint="eastAsia" w:eastAsia="仿宋_GB2312" w:cs="仿宋_GB2312"/>
                <w:snapToGrid w:val="0"/>
                <w:kern w:val="0"/>
                <w:sz w:val="24"/>
                <w:szCs w:val="24"/>
              </w:rPr>
              <w:t>）食品评价性抽检合格率达到</w:t>
            </w:r>
            <w:r>
              <w:rPr>
                <w:rFonts w:eastAsia="仿宋_GB2312"/>
                <w:snapToGrid w:val="0"/>
                <w:kern w:val="0"/>
                <w:sz w:val="24"/>
                <w:szCs w:val="24"/>
              </w:rPr>
              <w:t>98%</w:t>
            </w:r>
            <w:r>
              <w:rPr>
                <w:rFonts w:hint="eastAsia" w:eastAsia="仿宋_GB2312" w:cs="仿宋_GB2312"/>
                <w:snapToGrid w:val="0"/>
                <w:kern w:val="0"/>
                <w:sz w:val="24"/>
                <w:szCs w:val="24"/>
              </w:rPr>
              <w:t>以上，根据实际抽检结果进行折算。</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根据相关部门掌握情况进行评价</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5240" w:type="dxa"/>
            <w:gridSpan w:val="5"/>
            <w:vAlign w:val="center"/>
          </w:tcPr>
          <w:p>
            <w:pPr>
              <w:snapToGrid w:val="0"/>
              <w:jc w:val="left"/>
              <w:rPr>
                <w:rFonts w:eastAsia="仿宋_GB2312"/>
                <w:snapToGrid w:val="0"/>
                <w:kern w:val="0"/>
                <w:sz w:val="24"/>
                <w:szCs w:val="24"/>
              </w:rPr>
            </w:pPr>
            <w:r>
              <w:rPr>
                <w:rFonts w:hint="eastAsia" w:eastAsia="仿宋_GB2312" w:cs="仿宋_GB2312"/>
                <w:b/>
                <w:bCs/>
                <w:snapToGrid w:val="0"/>
                <w:kern w:val="0"/>
                <w:sz w:val="24"/>
                <w:szCs w:val="24"/>
              </w:rPr>
              <w:t>五、示范引领（</w:t>
            </w:r>
            <w:r>
              <w:rPr>
                <w:rFonts w:eastAsia="仿宋_GB2312"/>
                <w:b/>
                <w:bCs/>
                <w:snapToGrid w:val="0"/>
                <w:kern w:val="0"/>
                <w:sz w:val="24"/>
                <w:szCs w:val="24"/>
              </w:rPr>
              <w:t>40</w:t>
            </w:r>
            <w:r>
              <w:rPr>
                <w:rFonts w:hint="eastAsia" w:eastAsia="仿宋_GB2312" w:cs="仿宋_GB2312"/>
                <w:b/>
                <w:bCs/>
                <w:snapToGrid w:val="0"/>
                <w:kern w:val="0"/>
                <w:sz w:val="24"/>
                <w:szCs w:val="24"/>
              </w:rPr>
              <w:t>分，必选项</w:t>
            </w:r>
            <w:r>
              <w:rPr>
                <w:rFonts w:eastAsia="仿宋_GB2312"/>
                <w:b/>
                <w:bCs/>
                <w:snapToGrid w:val="0"/>
                <w:kern w:val="0"/>
                <w:sz w:val="24"/>
                <w:szCs w:val="24"/>
              </w:rPr>
              <w:t>25</w:t>
            </w:r>
            <w:r>
              <w:rPr>
                <w:rFonts w:hint="eastAsia" w:eastAsia="仿宋_GB2312" w:cs="仿宋_GB2312"/>
                <w:b/>
                <w:bCs/>
                <w:snapToGrid w:val="0"/>
                <w:kern w:val="0"/>
                <w:sz w:val="24"/>
                <w:szCs w:val="24"/>
              </w:rPr>
              <w:t>分、自选项</w:t>
            </w:r>
            <w:r>
              <w:rPr>
                <w:rFonts w:eastAsia="仿宋_GB2312"/>
                <w:b/>
                <w:bCs/>
                <w:snapToGrid w:val="0"/>
                <w:kern w:val="0"/>
                <w:sz w:val="24"/>
                <w:szCs w:val="24"/>
              </w:rPr>
              <w:t>15</w:t>
            </w:r>
            <w:r>
              <w:rPr>
                <w:rFonts w:hint="eastAsia" w:eastAsia="仿宋_GB2312" w:cs="仿宋_GB2312"/>
                <w:b/>
                <w:bCs/>
                <w:snapToGrid w:val="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890" w:type="dxa"/>
            <w:vAlign w:val="center"/>
          </w:tcPr>
          <w:p>
            <w:pPr>
              <w:snapToGrid w:val="0"/>
              <w:jc w:val="center"/>
              <w:rPr>
                <w:rFonts w:eastAsia="仿宋_GB2312"/>
                <w:snapToGrid w:val="0"/>
                <w:kern w:val="0"/>
                <w:sz w:val="24"/>
                <w:szCs w:val="24"/>
              </w:rPr>
            </w:pPr>
            <w:r>
              <w:rPr>
                <w:rFonts w:eastAsia="仿宋_GB2312"/>
                <w:snapToGrid w:val="0"/>
                <w:kern w:val="0"/>
                <w:sz w:val="24"/>
                <w:szCs w:val="24"/>
              </w:rPr>
              <w:t>27.</w:t>
            </w:r>
            <w:r>
              <w:rPr>
                <w:rFonts w:hint="eastAsia" w:eastAsia="仿宋_GB2312" w:cs="仿宋_GB2312"/>
                <w:snapToGrid w:val="0"/>
                <w:kern w:val="0"/>
                <w:sz w:val="24"/>
                <w:szCs w:val="24"/>
              </w:rPr>
              <w:t>信用监管</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（必选项，</w:t>
            </w:r>
            <w:r>
              <w:rPr>
                <w:rFonts w:eastAsia="仿宋_GB2312"/>
                <w:snapToGrid w:val="0"/>
                <w:kern w:val="0"/>
                <w:sz w:val="24"/>
                <w:szCs w:val="24"/>
              </w:rPr>
              <w:t>10</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76</w:t>
            </w:r>
            <w:r>
              <w:rPr>
                <w:rFonts w:hint="eastAsia" w:eastAsia="仿宋_GB2312" w:cs="仿宋_GB2312"/>
                <w:snapToGrid w:val="0"/>
                <w:kern w:val="0"/>
                <w:sz w:val="24"/>
                <w:szCs w:val="24"/>
              </w:rPr>
              <w:t>）健全信用监管制度机制，建立食品生产经营企业信用档案。将食品生产经营者信用信息及时归集到企业名下。强化信用信息运用，进行信用分级，实施分类监管。</w:t>
            </w:r>
          </w:p>
        </w:tc>
        <w:tc>
          <w:tcPr>
            <w:tcW w:w="2010" w:type="dxa"/>
            <w:vAlign w:val="center"/>
          </w:tcPr>
          <w:p>
            <w:pPr>
              <w:widowControl/>
              <w:adjustRightInd w:val="0"/>
              <w:snapToGrid w:val="0"/>
              <w:jc w:val="center"/>
              <w:rPr>
                <w:rFonts w:eastAsia="仿宋_GB2312"/>
                <w:snapToGrid w:val="0"/>
                <w:kern w:val="0"/>
                <w:sz w:val="24"/>
                <w:szCs w:val="24"/>
              </w:rPr>
            </w:pPr>
            <w:r>
              <w:rPr>
                <w:rFonts w:hint="eastAsia" w:eastAsia="仿宋_GB2312" w:cs="仿宋_GB2312"/>
                <w:snapToGrid w:val="0"/>
                <w:kern w:val="0"/>
                <w:sz w:val="24"/>
                <w:szCs w:val="24"/>
              </w:rPr>
              <w:t>市场监管总局组织验收组评审</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890" w:type="dxa"/>
            <w:vAlign w:val="center"/>
          </w:tcPr>
          <w:p>
            <w:pPr>
              <w:snapToGrid w:val="0"/>
              <w:jc w:val="center"/>
              <w:rPr>
                <w:rFonts w:eastAsia="仿宋_GB2312"/>
                <w:snapToGrid w:val="0"/>
                <w:kern w:val="0"/>
                <w:sz w:val="24"/>
                <w:szCs w:val="24"/>
              </w:rPr>
            </w:pPr>
            <w:r>
              <w:rPr>
                <w:rFonts w:eastAsia="仿宋_GB2312"/>
                <w:snapToGrid w:val="0"/>
                <w:kern w:val="0"/>
                <w:sz w:val="24"/>
                <w:szCs w:val="24"/>
              </w:rPr>
              <w:t>28.</w:t>
            </w:r>
            <w:r>
              <w:rPr>
                <w:rFonts w:hint="eastAsia" w:eastAsia="仿宋_GB2312" w:cs="仿宋_GB2312"/>
                <w:snapToGrid w:val="0"/>
                <w:kern w:val="0"/>
                <w:sz w:val="24"/>
                <w:szCs w:val="24"/>
              </w:rPr>
              <w:t>智慧监管</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（必选项，</w:t>
            </w:r>
            <w:r>
              <w:rPr>
                <w:rFonts w:eastAsia="仿宋_GB2312"/>
                <w:snapToGrid w:val="0"/>
                <w:kern w:val="0"/>
                <w:sz w:val="24"/>
                <w:szCs w:val="24"/>
              </w:rPr>
              <w:t>10</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77</w:t>
            </w:r>
            <w:r>
              <w:rPr>
                <w:rFonts w:hint="eastAsia" w:eastAsia="仿宋_GB2312" w:cs="仿宋_GB2312"/>
                <w:snapToGrid w:val="0"/>
                <w:kern w:val="0"/>
                <w:sz w:val="24"/>
                <w:szCs w:val="24"/>
              </w:rPr>
              <w:t>）推进信息化技术在食品安全监管领域的应用，及时归集和综合运用相关数据，提高监管效能和水平，实施智慧监管。进口冷链食品实现快速精准追溯。</w:t>
            </w:r>
          </w:p>
        </w:tc>
        <w:tc>
          <w:tcPr>
            <w:tcW w:w="2010" w:type="dxa"/>
            <w:vAlign w:val="center"/>
          </w:tcPr>
          <w:p>
            <w:pPr>
              <w:widowControl/>
              <w:adjustRightInd w:val="0"/>
              <w:snapToGrid w:val="0"/>
              <w:jc w:val="center"/>
              <w:rPr>
                <w:rFonts w:eastAsia="仿宋_GB2312"/>
                <w:snapToGrid w:val="0"/>
                <w:kern w:val="0"/>
                <w:sz w:val="24"/>
                <w:szCs w:val="24"/>
              </w:rPr>
            </w:pPr>
            <w:r>
              <w:rPr>
                <w:rFonts w:hint="eastAsia" w:eastAsia="仿宋_GB2312" w:cs="仿宋_GB2312"/>
                <w:snapToGrid w:val="0"/>
                <w:kern w:val="0"/>
                <w:sz w:val="24"/>
                <w:szCs w:val="24"/>
              </w:rPr>
              <w:t>市场监管总局组织验收组评审</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890" w:type="dxa"/>
            <w:vMerge w:val="restart"/>
            <w:vAlign w:val="center"/>
          </w:tcPr>
          <w:p>
            <w:pPr>
              <w:jc w:val="center"/>
              <w:rPr>
                <w:rFonts w:eastAsia="仿宋_GB2312"/>
                <w:snapToGrid w:val="0"/>
                <w:kern w:val="0"/>
                <w:sz w:val="24"/>
                <w:szCs w:val="24"/>
              </w:rPr>
            </w:pPr>
            <w:r>
              <w:rPr>
                <w:rFonts w:eastAsia="仿宋_GB2312"/>
                <w:snapToGrid w:val="0"/>
                <w:kern w:val="0"/>
                <w:sz w:val="24"/>
                <w:szCs w:val="24"/>
              </w:rPr>
              <w:t>29.</w:t>
            </w:r>
            <w:r>
              <w:rPr>
                <w:rFonts w:hint="eastAsia" w:eastAsia="仿宋_GB2312" w:cs="仿宋_GB2312"/>
                <w:snapToGrid w:val="0"/>
                <w:kern w:val="0"/>
                <w:sz w:val="24"/>
                <w:szCs w:val="24"/>
              </w:rPr>
              <w:t>机制创新</w:t>
            </w:r>
          </w:p>
          <w:p>
            <w:pPr>
              <w:jc w:val="center"/>
              <w:rPr>
                <w:rFonts w:eastAsia="仿宋_GB2312"/>
                <w:snapToGrid w:val="0"/>
                <w:kern w:val="0"/>
                <w:sz w:val="24"/>
                <w:szCs w:val="24"/>
              </w:rPr>
            </w:pPr>
            <w:r>
              <w:rPr>
                <w:rFonts w:hint="eastAsia" w:eastAsia="仿宋_GB2312" w:cs="仿宋_GB2312"/>
                <w:snapToGrid w:val="0"/>
                <w:kern w:val="0"/>
                <w:sz w:val="24"/>
                <w:szCs w:val="24"/>
              </w:rPr>
              <w:t>（必选项，</w:t>
            </w:r>
          </w:p>
          <w:p>
            <w:pPr>
              <w:jc w:val="center"/>
              <w:rPr>
                <w:rFonts w:eastAsia="仿宋_GB2312"/>
                <w:snapToGrid w:val="0"/>
                <w:kern w:val="0"/>
                <w:sz w:val="24"/>
                <w:szCs w:val="24"/>
              </w:rPr>
            </w:pPr>
            <w:r>
              <w:rPr>
                <w:rFonts w:hint="eastAsia" w:eastAsia="仿宋_GB2312" w:cs="仿宋_GB2312"/>
                <w:snapToGrid w:val="0"/>
                <w:kern w:val="0"/>
                <w:sz w:val="24"/>
                <w:szCs w:val="24"/>
              </w:rPr>
              <w:t>任选</w:t>
            </w:r>
            <w:r>
              <w:rPr>
                <w:rFonts w:eastAsia="仿宋_GB2312"/>
                <w:snapToGrid w:val="0"/>
                <w:kern w:val="0"/>
                <w:sz w:val="24"/>
                <w:szCs w:val="24"/>
              </w:rPr>
              <w:t>2</w:t>
            </w:r>
            <w:r>
              <w:rPr>
                <w:rFonts w:hint="eastAsia" w:eastAsia="仿宋_GB2312" w:cs="仿宋_GB2312"/>
                <w:snapToGrid w:val="0"/>
                <w:kern w:val="0"/>
                <w:sz w:val="24"/>
                <w:szCs w:val="24"/>
              </w:rPr>
              <w:t>项，</w:t>
            </w:r>
            <w:r>
              <w:rPr>
                <w:rFonts w:eastAsia="仿宋_GB2312"/>
                <w:snapToGrid w:val="0"/>
                <w:kern w:val="0"/>
                <w:sz w:val="24"/>
                <w:szCs w:val="24"/>
              </w:rPr>
              <w:t>5</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78</w:t>
            </w:r>
            <w:r>
              <w:rPr>
                <w:rFonts w:hint="eastAsia" w:eastAsia="仿宋_GB2312" w:cs="仿宋_GB2312"/>
                <w:snapToGrid w:val="0"/>
                <w:kern w:val="0"/>
                <w:sz w:val="24"/>
                <w:szCs w:val="24"/>
              </w:rPr>
              <w:t>）在健全食品安全评价和群众食品安全满意度测评等指标体系方面形成示范性经验做法。</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市场监管总局组织验收组评审</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市政府食品安全办</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市政府食品安委各成员单位，各县（市、区）人民政府、曲靖经开区管委会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79</w:t>
            </w:r>
            <w:r>
              <w:rPr>
                <w:rFonts w:hint="eastAsia" w:eastAsia="仿宋_GB2312" w:cs="仿宋_GB2312"/>
                <w:snapToGrid w:val="0"/>
                <w:kern w:val="0"/>
                <w:sz w:val="24"/>
                <w:szCs w:val="24"/>
              </w:rPr>
              <w:t>）在创新制度机制，落实企业主体责任方面形成示范性经验做法。</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市场监管总局组织验收组评审</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80</w:t>
            </w:r>
            <w:r>
              <w:rPr>
                <w:rFonts w:hint="eastAsia" w:eastAsia="仿宋_GB2312" w:cs="仿宋_GB2312"/>
                <w:snapToGrid w:val="0"/>
                <w:kern w:val="0"/>
                <w:sz w:val="24"/>
                <w:szCs w:val="24"/>
              </w:rPr>
              <w:t>）在创新产地准出和市场准入衔接机制方面形成示范性经验做法。</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国务院食品安全办组织验收组评审</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市农业农村局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市市场监管局，各县（市、区）人民政府、曲靖经开区管委会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81</w:t>
            </w:r>
            <w:r>
              <w:rPr>
                <w:rFonts w:hint="eastAsia" w:eastAsia="仿宋_GB2312" w:cs="仿宋_GB2312"/>
                <w:snapToGrid w:val="0"/>
                <w:kern w:val="0"/>
                <w:sz w:val="24"/>
                <w:szCs w:val="24"/>
              </w:rPr>
              <w:t>）在健全行刑衔接、行纪衔接制度机制方面形成示范性经验做法。</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国务院食品安全办组织验收组评审</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市委政法委</w:t>
            </w:r>
          </w:p>
          <w:p>
            <w:pPr>
              <w:jc w:val="center"/>
              <w:rPr>
                <w:rFonts w:eastAsia="仿宋_GB2312"/>
                <w:snapToGrid w:val="0"/>
                <w:kern w:val="0"/>
                <w:sz w:val="24"/>
                <w:szCs w:val="24"/>
              </w:rPr>
            </w:pPr>
            <w:r>
              <w:rPr>
                <w:rFonts w:hint="eastAsia" w:eastAsia="仿宋_GB2312" w:cs="仿宋_GB2312"/>
                <w:snapToGrid w:val="0"/>
                <w:kern w:val="0"/>
                <w:sz w:val="24"/>
                <w:szCs w:val="24"/>
              </w:rPr>
              <w:t>市纪委市监委</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市中级人民法院、市人民检察院、市农业农村局、市公安局、市市场监管局，各县（市、区）人民政府、曲靖经开区管委会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890" w:type="dxa"/>
            <w:vMerge w:val="continue"/>
            <w:vAlign w:val="center"/>
          </w:tcPr>
          <w:p>
            <w:pPr>
              <w:jc w:val="center"/>
              <w:rPr>
                <w:rFonts w:eastAsia="仿宋_GB2312"/>
                <w:snapToGrid w:val="0"/>
                <w:kern w:val="0"/>
                <w:sz w:val="24"/>
                <w:szCs w:val="24"/>
              </w:rPr>
            </w:pP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82</w:t>
            </w:r>
            <w:r>
              <w:rPr>
                <w:rFonts w:hint="eastAsia" w:eastAsia="仿宋_GB2312" w:cs="仿宋_GB2312"/>
                <w:snapToGrid w:val="0"/>
                <w:kern w:val="0"/>
                <w:sz w:val="24"/>
                <w:szCs w:val="24"/>
              </w:rPr>
              <w:t>）在加强队伍建设、提高监管队伍专业化水平方面形成示范性经验做法。</w:t>
            </w:r>
          </w:p>
        </w:tc>
        <w:tc>
          <w:tcPr>
            <w:tcW w:w="2010" w:type="dxa"/>
            <w:vAlign w:val="center"/>
          </w:tcPr>
          <w:p>
            <w:pPr>
              <w:snapToGrid w:val="0"/>
              <w:jc w:val="center"/>
              <w:rPr>
                <w:rFonts w:eastAsia="仿宋_GB2312"/>
                <w:snapToGrid w:val="0"/>
                <w:kern w:val="0"/>
                <w:sz w:val="24"/>
                <w:szCs w:val="24"/>
              </w:rPr>
            </w:pPr>
            <w:r>
              <w:rPr>
                <w:rFonts w:hint="eastAsia" w:eastAsia="仿宋_GB2312" w:cs="仿宋_GB2312"/>
                <w:snapToGrid w:val="0"/>
                <w:kern w:val="0"/>
                <w:sz w:val="24"/>
                <w:szCs w:val="24"/>
              </w:rPr>
              <w:t>市场监管总局组织验收组评审</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0" w:type="dxa"/>
            <w:vAlign w:val="center"/>
          </w:tcPr>
          <w:p>
            <w:pPr>
              <w:snapToGrid w:val="0"/>
              <w:jc w:val="center"/>
              <w:rPr>
                <w:rFonts w:eastAsia="仿宋_GB2312"/>
                <w:snapToGrid w:val="0"/>
                <w:kern w:val="0"/>
                <w:sz w:val="24"/>
                <w:szCs w:val="24"/>
              </w:rPr>
            </w:pPr>
            <w:r>
              <w:rPr>
                <w:rFonts w:eastAsia="仿宋_GB2312"/>
                <w:snapToGrid w:val="0"/>
                <w:kern w:val="0"/>
                <w:sz w:val="24"/>
                <w:szCs w:val="24"/>
              </w:rPr>
              <w:t>30.</w:t>
            </w:r>
            <w:r>
              <w:rPr>
                <w:rFonts w:hint="eastAsia" w:eastAsia="仿宋_GB2312"/>
                <w:snapToGrid w:val="0"/>
                <w:kern w:val="0"/>
                <w:sz w:val="24"/>
                <w:szCs w:val="24"/>
                <w:lang w:val="en" w:eastAsia="zh-CN"/>
              </w:rPr>
              <w:t>“</w:t>
            </w:r>
            <w:r>
              <w:rPr>
                <w:rFonts w:hint="eastAsia" w:eastAsia="仿宋_GB2312" w:cs="仿宋_GB2312"/>
                <w:snapToGrid w:val="0"/>
                <w:kern w:val="0"/>
                <w:sz w:val="24"/>
                <w:szCs w:val="24"/>
              </w:rPr>
              <w:t>三小</w:t>
            </w:r>
            <w:r>
              <w:rPr>
                <w:rFonts w:hint="eastAsia" w:eastAsia="仿宋_GB2312"/>
                <w:snapToGrid w:val="0"/>
                <w:kern w:val="0"/>
                <w:sz w:val="24"/>
                <w:szCs w:val="24"/>
                <w:lang w:eastAsia="zh-CN"/>
              </w:rPr>
              <w:t>”</w:t>
            </w:r>
            <w:r>
              <w:rPr>
                <w:rFonts w:hint="eastAsia" w:eastAsia="仿宋_GB2312" w:cs="仿宋_GB2312"/>
                <w:snapToGrid w:val="0"/>
                <w:kern w:val="0"/>
                <w:sz w:val="24"/>
                <w:szCs w:val="24"/>
              </w:rPr>
              <w:t>治理</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83</w:t>
            </w:r>
            <w:r>
              <w:rPr>
                <w:rFonts w:hint="eastAsia" w:eastAsia="仿宋_GB2312" w:cs="仿宋_GB2312"/>
                <w:snapToGrid w:val="0"/>
                <w:kern w:val="0"/>
                <w:sz w:val="24"/>
                <w:szCs w:val="24"/>
              </w:rPr>
              <w:t>）综合治理食品小作坊、食品摊贩、小餐饮，改善其生产经营环境，鼓励和支持改进生产经营条件。</w:t>
            </w:r>
          </w:p>
        </w:tc>
        <w:tc>
          <w:tcPr>
            <w:tcW w:w="2010" w:type="dxa"/>
            <w:vAlign w:val="center"/>
          </w:tcPr>
          <w:p>
            <w:pPr>
              <w:widowControl/>
              <w:adjustRightInd w:val="0"/>
              <w:snapToGrid w:val="0"/>
              <w:jc w:val="center"/>
              <w:rPr>
                <w:rFonts w:eastAsia="仿宋_GB2312"/>
                <w:snapToGrid w:val="0"/>
                <w:kern w:val="0"/>
                <w:sz w:val="24"/>
                <w:szCs w:val="24"/>
              </w:rPr>
            </w:pPr>
            <w:r>
              <w:rPr>
                <w:rFonts w:hint="eastAsia" w:eastAsia="仿宋_GB2312" w:cs="仿宋_GB2312"/>
                <w:snapToGrid w:val="0"/>
                <w:kern w:val="0"/>
                <w:sz w:val="24"/>
                <w:szCs w:val="24"/>
              </w:rPr>
              <w:t>市场监管总局组织验收组评审</w:t>
            </w:r>
          </w:p>
        </w:tc>
        <w:tc>
          <w:tcPr>
            <w:tcW w:w="3121" w:type="dxa"/>
            <w:vAlign w:val="center"/>
          </w:tcPr>
          <w:p>
            <w:pPr>
              <w:jc w:val="center"/>
              <w:rPr>
                <w:rFonts w:eastAsia="仿宋_GB2312"/>
                <w:snapToGrid w:val="0"/>
                <w:kern w:val="0"/>
                <w:sz w:val="24"/>
                <w:szCs w:val="24"/>
              </w:rPr>
            </w:pP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890" w:type="dxa"/>
            <w:vAlign w:val="center"/>
          </w:tcPr>
          <w:p>
            <w:pPr>
              <w:numPr>
                <w:ilvl w:val="255"/>
                <w:numId w:val="0"/>
              </w:numPr>
              <w:snapToGrid w:val="0"/>
              <w:jc w:val="center"/>
              <w:rPr>
                <w:rFonts w:eastAsia="仿宋_GB2312"/>
                <w:snapToGrid w:val="0"/>
                <w:kern w:val="0"/>
                <w:sz w:val="24"/>
                <w:szCs w:val="24"/>
              </w:rPr>
            </w:pPr>
            <w:r>
              <w:rPr>
                <w:rFonts w:eastAsia="仿宋_GB2312"/>
                <w:snapToGrid w:val="0"/>
                <w:kern w:val="0"/>
                <w:sz w:val="24"/>
                <w:szCs w:val="24"/>
              </w:rPr>
              <w:t>31.</w:t>
            </w:r>
            <w:r>
              <w:rPr>
                <w:rFonts w:hint="eastAsia" w:eastAsia="仿宋_GB2312" w:cs="仿宋_GB2312"/>
                <w:snapToGrid w:val="0"/>
                <w:kern w:val="0"/>
                <w:sz w:val="24"/>
                <w:szCs w:val="24"/>
              </w:rPr>
              <w:t>农村食品安全综合治理</w:t>
            </w:r>
          </w:p>
          <w:p>
            <w:pPr>
              <w:numPr>
                <w:ilvl w:val="255"/>
                <w:numId w:val="0"/>
              </w:numPr>
              <w:snapToGrid w:val="0"/>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84</w:t>
            </w:r>
            <w:r>
              <w:rPr>
                <w:rFonts w:hint="eastAsia" w:eastAsia="仿宋_GB2312" w:cs="仿宋_GB2312"/>
                <w:snapToGrid w:val="0"/>
                <w:kern w:val="0"/>
                <w:sz w:val="24"/>
                <w:szCs w:val="24"/>
              </w:rPr>
              <w:t>）开展农村假冒伪劣食品整治，全面提升农村食品安全综合治理能力。建立规范的农村食品流通供应体系，净化农村消费市场。开展农村食品经营店规范化建设。</w:t>
            </w:r>
            <w:r>
              <w:rPr>
                <w:snapToGrid w:val="0"/>
                <w:kern w:val="0"/>
              </w:rPr>
              <mc:AlternateContent>
                <mc:Choice Requires="wps">
                  <w:drawing>
                    <wp:anchor distT="0" distB="0" distL="114300" distR="114300" simplePos="0" relativeHeight="251672576" behindDoc="0" locked="0" layoutInCell="1" allowOverlap="1">
                      <wp:simplePos x="0" y="0"/>
                      <wp:positionH relativeFrom="column">
                        <wp:posOffset>-1877695</wp:posOffset>
                      </wp:positionH>
                      <wp:positionV relativeFrom="paragraph">
                        <wp:posOffset>553720</wp:posOffset>
                      </wp:positionV>
                      <wp:extent cx="769620" cy="347345"/>
                      <wp:effectExtent l="211455" t="0" r="0" b="0"/>
                      <wp:wrapNone/>
                      <wp:docPr id="12" name="文本框 22"/>
                      <wp:cNvGraphicFramePr/>
                      <a:graphic xmlns:a="http://schemas.openxmlformats.org/drawingml/2006/main">
                        <a:graphicData uri="http://schemas.microsoft.com/office/word/2010/wordprocessingShape">
                          <wps:wsp>
                            <wps:cNvSpPr txBox="1"/>
                            <wps:spPr>
                              <a:xfrm rot="5400000">
                                <a:off x="0" y="0"/>
                                <a:ext cx="769620" cy="347345"/>
                              </a:xfrm>
                              <a:prstGeom prst="rect">
                                <a:avLst/>
                              </a:prstGeom>
                              <a:noFill/>
                              <a:ln w="6350">
                                <a:noFill/>
                              </a:ln>
                            </wps:spPr>
                            <wps:txbx>
                              <w:txbxContent>
                                <w:p>
                                  <w:pPr>
                                    <w:rPr>
                                      <w:sz w:val="28"/>
                                      <w:szCs w:val="28"/>
                                    </w:rPr>
                                  </w:pPr>
                                  <w:r>
                                    <w:rPr>
                                      <w:sz w:val="28"/>
                                      <w:szCs w:val="28"/>
                                    </w:rPr>
                                    <w:t>—25—</w:t>
                                  </w:r>
                                </w:p>
                              </w:txbxContent>
                            </wps:txbx>
                            <wps:bodyPr vert="eaVert" upright="1"/>
                          </wps:wsp>
                        </a:graphicData>
                      </a:graphic>
                    </wp:anchor>
                  </w:drawing>
                </mc:Choice>
                <mc:Fallback>
                  <w:pict>
                    <v:shape id="文本框 22" o:spid="_x0000_s1026" o:spt="202" type="#_x0000_t202" style="position:absolute;left:0pt;margin-left:-147.85pt;margin-top:43.6pt;height:27.35pt;width:60.6pt;rotation:5898240f;z-index:251672576;mso-width-relative:page;mso-height-relative:page;" filled="f" stroked="f" coordsize="21600,21600" o:gfxdata="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AYd&#10;MdwAAAAMAQAADwAAAAAAAAABACAAAAAiAAAAZHJzL2Rvd25yZXYueG1sUEsBAhQAFAAAAAgAh07i&#10;QJu3DkisAQAAJgMAAA4AAAAAAAAAAQAgAAAAKwEAAGRycy9lMm9Eb2MueG1sUEsFBgAAAAAGAAYA&#10;WQEAAEkFAAAAAA==&#10;">
                      <v:fill on="f" focussize="0,0"/>
                      <v:stroke on="f" weight="0.5pt"/>
                      <v:imagedata o:title=""/>
                      <o:lock v:ext="edit" aspectratio="f"/>
                      <v:textbox style="layout-flow:vertical-ideographic;">
                        <w:txbxContent>
                          <w:p>
                            <w:pPr>
                              <w:rPr>
                                <w:sz w:val="28"/>
                                <w:szCs w:val="28"/>
                              </w:rPr>
                            </w:pPr>
                            <w:r>
                              <w:rPr>
                                <w:sz w:val="28"/>
                                <w:szCs w:val="28"/>
                              </w:rPr>
                              <w:t>—25—</w:t>
                            </w:r>
                          </w:p>
                        </w:txbxContent>
                      </v:textbox>
                    </v:shape>
                  </w:pict>
                </mc:Fallback>
              </mc:AlternateContent>
            </w:r>
          </w:p>
        </w:tc>
        <w:tc>
          <w:tcPr>
            <w:tcW w:w="2010" w:type="dxa"/>
            <w:vAlign w:val="center"/>
          </w:tcPr>
          <w:p>
            <w:pPr>
              <w:widowControl/>
              <w:adjustRightInd w:val="0"/>
              <w:snapToGrid w:val="0"/>
              <w:jc w:val="center"/>
              <w:rPr>
                <w:rFonts w:eastAsia="仿宋_GB2312"/>
                <w:snapToGrid w:val="0"/>
                <w:kern w:val="0"/>
                <w:sz w:val="24"/>
                <w:szCs w:val="24"/>
              </w:rPr>
            </w:pPr>
            <w:r>
              <w:rPr>
                <w:rFonts w:hint="eastAsia" w:eastAsia="仿宋_GB2312" w:cs="仿宋_GB2312"/>
                <w:snapToGrid w:val="0"/>
                <w:kern w:val="0"/>
                <w:sz w:val="24"/>
                <w:szCs w:val="24"/>
              </w:rPr>
              <w:t>市场监管总局组织验收组评审</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p>
            <w:pPr>
              <w:jc w:val="center"/>
              <w:rPr>
                <w:rFonts w:eastAsia="仿宋_GB2312"/>
                <w:snapToGrid w:val="0"/>
                <w:kern w:val="0"/>
                <w:sz w:val="24"/>
                <w:szCs w:val="24"/>
              </w:rPr>
            </w:pPr>
            <w:r>
              <w:rPr>
                <w:rFonts w:hint="eastAsia" w:eastAsia="仿宋_GB2312" w:cs="仿宋_GB2312"/>
                <w:snapToGrid w:val="0"/>
                <w:kern w:val="0"/>
                <w:sz w:val="24"/>
                <w:szCs w:val="24"/>
              </w:rPr>
              <w:t>市商务局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市农业农村局、市公安局、市供销合作社，各县（市、区）人民政府、曲靖经开区管委会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90" w:type="dxa"/>
            <w:vAlign w:val="center"/>
          </w:tcPr>
          <w:p>
            <w:pPr>
              <w:numPr>
                <w:ilvl w:val="255"/>
                <w:numId w:val="0"/>
              </w:numPr>
              <w:snapToGrid w:val="0"/>
              <w:jc w:val="center"/>
              <w:rPr>
                <w:rFonts w:hint="eastAsia" w:eastAsia="仿宋_GB2312"/>
                <w:snapToGrid w:val="0"/>
                <w:kern w:val="0"/>
                <w:sz w:val="24"/>
                <w:szCs w:val="24"/>
                <w:lang w:eastAsia="zh-CN"/>
              </w:rPr>
            </w:pPr>
            <w:r>
              <w:rPr>
                <w:snapToGrid w:val="0"/>
                <w:kern w:val="0"/>
              </w:rPr>
              <mc:AlternateContent>
                <mc:Choice Requires="wps">
                  <w:drawing>
                    <wp:anchor distT="0" distB="0" distL="114300" distR="114300" simplePos="0" relativeHeight="251671552" behindDoc="0" locked="0" layoutInCell="1" allowOverlap="1">
                      <wp:simplePos x="0" y="0"/>
                      <wp:positionH relativeFrom="column">
                        <wp:posOffset>-692785</wp:posOffset>
                      </wp:positionH>
                      <wp:positionV relativeFrom="paragraph">
                        <wp:posOffset>-106045</wp:posOffset>
                      </wp:positionV>
                      <wp:extent cx="769620" cy="347345"/>
                      <wp:effectExtent l="211455" t="0" r="0" b="0"/>
                      <wp:wrapNone/>
                      <wp:docPr id="13" name="文本框 9"/>
                      <wp:cNvGraphicFramePr/>
                      <a:graphic xmlns:a="http://schemas.openxmlformats.org/drawingml/2006/main">
                        <a:graphicData uri="http://schemas.microsoft.com/office/word/2010/wordprocessingShape">
                          <wps:wsp>
                            <wps:cNvSpPr txBox="1"/>
                            <wps:spPr>
                              <a:xfrm rot="5400000">
                                <a:off x="0" y="0"/>
                                <a:ext cx="769620" cy="347345"/>
                              </a:xfrm>
                              <a:prstGeom prst="rect">
                                <a:avLst/>
                              </a:prstGeom>
                              <a:noFill/>
                              <a:ln w="6350">
                                <a:noFill/>
                              </a:ln>
                            </wps:spPr>
                            <wps:txbx>
                              <w:txbxContent>
                                <w:p>
                                  <w:pPr>
                                    <w:rPr>
                                      <w:sz w:val="28"/>
                                      <w:szCs w:val="28"/>
                                    </w:rPr>
                                  </w:pPr>
                                  <w:r>
                                    <w:rPr>
                                      <w:sz w:val="28"/>
                                      <w:szCs w:val="28"/>
                                    </w:rPr>
                                    <w:t>—26—</w:t>
                                  </w:r>
                                </w:p>
                              </w:txbxContent>
                            </wps:txbx>
                            <wps:bodyPr vert="eaVert" upright="1"/>
                          </wps:wsp>
                        </a:graphicData>
                      </a:graphic>
                    </wp:anchor>
                  </w:drawing>
                </mc:Choice>
                <mc:Fallback>
                  <w:pict>
                    <v:shape id="文本框 9" o:spid="_x0000_s1026" o:spt="202" type="#_x0000_t202" style="position:absolute;left:0pt;margin-left:-54.55pt;margin-top:-8.35pt;height:27.35pt;width:60.6pt;rotation:5898240f;z-index:251671552;mso-width-relative:page;mso-height-relative:page;" filled="f" stroked="f" coordsize="21600,21600" o:gfxdata="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jMci+1wAAAAoB&#10;AAAPAAAAAAAAAAEAIAAAACIAAABkcnMvZG93bnJldi54bWxQSwECFAAUAAAACACHTuJASlgpDaoB&#10;AAAlAwAADgAAAAAAAAABACAAAAAmAQAAZHJzL2Uyb0RvYy54bWxQSwUGAAAAAAYABgBZAQAAQgUA&#10;AAAA&#10;">
                      <v:fill on="f" focussize="0,0"/>
                      <v:stroke on="f" weight="0.5pt"/>
                      <v:imagedata o:title=""/>
                      <o:lock v:ext="edit" aspectratio="f"/>
                      <v:textbox style="layout-flow:vertical-ideographic;">
                        <w:txbxContent>
                          <w:p>
                            <w:pPr>
                              <w:rPr>
                                <w:sz w:val="28"/>
                                <w:szCs w:val="28"/>
                              </w:rPr>
                            </w:pPr>
                            <w:r>
                              <w:rPr>
                                <w:sz w:val="28"/>
                                <w:szCs w:val="28"/>
                              </w:rPr>
                              <w:t>—26—</w:t>
                            </w:r>
                          </w:p>
                        </w:txbxContent>
                      </v:textbox>
                    </v:shape>
                  </w:pict>
                </mc:Fallback>
              </mc:AlternateContent>
            </w:r>
            <w:r>
              <w:rPr>
                <w:rFonts w:eastAsia="仿宋_GB2312"/>
                <w:snapToGrid w:val="0"/>
                <w:kern w:val="0"/>
                <w:sz w:val="24"/>
                <w:szCs w:val="24"/>
              </w:rPr>
              <w:t>32.</w:t>
            </w:r>
            <w:r>
              <w:rPr>
                <w:rFonts w:hint="eastAsia" w:eastAsia="仿宋_GB2312" w:cs="仿宋_GB2312"/>
                <w:snapToGrid w:val="0"/>
                <w:kern w:val="0"/>
                <w:sz w:val="24"/>
                <w:szCs w:val="24"/>
              </w:rPr>
              <w:t>学校食堂</w:t>
            </w:r>
            <w:r>
              <w:rPr>
                <w:rFonts w:hint="eastAsia" w:eastAsia="仿宋_GB2312"/>
                <w:snapToGrid w:val="0"/>
                <w:kern w:val="0"/>
                <w:sz w:val="24"/>
                <w:szCs w:val="24"/>
                <w:lang w:val="en" w:eastAsia="zh-CN"/>
              </w:rPr>
              <w:t>“</w:t>
            </w:r>
            <w:r>
              <w:rPr>
                <w:rFonts w:hint="eastAsia" w:eastAsia="仿宋_GB2312" w:cs="仿宋_GB2312"/>
                <w:snapToGrid w:val="0"/>
                <w:kern w:val="0"/>
                <w:sz w:val="24"/>
                <w:szCs w:val="24"/>
              </w:rPr>
              <w:t>互联网</w:t>
            </w:r>
            <w:r>
              <w:rPr>
                <w:rFonts w:eastAsia="仿宋_GB2312"/>
                <w:snapToGrid w:val="0"/>
                <w:kern w:val="0"/>
                <w:sz w:val="24"/>
                <w:szCs w:val="24"/>
              </w:rPr>
              <w:t>+</w:t>
            </w:r>
            <w:r>
              <w:rPr>
                <w:rFonts w:hint="eastAsia" w:eastAsia="仿宋_GB2312" w:cs="仿宋_GB2312"/>
                <w:snapToGrid w:val="0"/>
                <w:kern w:val="0"/>
                <w:sz w:val="24"/>
                <w:szCs w:val="24"/>
              </w:rPr>
              <w:t>明厨亮灶</w:t>
            </w:r>
            <w:r>
              <w:rPr>
                <w:rFonts w:hint="eastAsia" w:eastAsia="仿宋_GB2312"/>
                <w:snapToGrid w:val="0"/>
                <w:kern w:val="0"/>
                <w:sz w:val="24"/>
                <w:szCs w:val="24"/>
                <w:lang w:eastAsia="zh-CN"/>
              </w:rPr>
              <w:t>”</w:t>
            </w:r>
          </w:p>
          <w:p>
            <w:pPr>
              <w:numPr>
                <w:ilvl w:val="255"/>
                <w:numId w:val="0"/>
              </w:numPr>
              <w:snapToGrid w:val="0"/>
              <w:jc w:val="center"/>
              <w:rPr>
                <w:snapToGrid w:val="0"/>
                <w:kern w:val="0"/>
              </w:rPr>
            </w:pPr>
            <w:r>
              <w:rPr>
                <w:rFonts w:hint="eastAsia" w:eastAsia="仿宋_GB2312" w:cs="仿宋_GB2312"/>
                <w:snapToGrid w:val="0"/>
                <w:kern w:val="0"/>
                <w:sz w:val="24"/>
                <w:szCs w:val="24"/>
              </w:rPr>
              <w:t>（</w:t>
            </w:r>
            <w:r>
              <w:rPr>
                <w:rFonts w:eastAsia="仿宋_GB2312"/>
                <w:snapToGrid w:val="0"/>
                <w:kern w:val="0"/>
                <w:sz w:val="24"/>
                <w:szCs w:val="24"/>
              </w:rPr>
              <w:t>5</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85</w:t>
            </w:r>
            <w:r>
              <w:rPr>
                <w:rFonts w:hint="eastAsia" w:eastAsia="仿宋_GB2312" w:cs="仿宋_GB2312"/>
                <w:snapToGrid w:val="0"/>
                <w:kern w:val="0"/>
                <w:sz w:val="24"/>
                <w:szCs w:val="24"/>
              </w:rPr>
              <w:t>）学校食堂</w:t>
            </w:r>
            <w:r>
              <w:rPr>
                <w:rFonts w:hint="eastAsia" w:eastAsia="仿宋_GB2312"/>
                <w:snapToGrid w:val="0"/>
                <w:kern w:val="0"/>
                <w:sz w:val="24"/>
                <w:szCs w:val="24"/>
                <w:lang w:val="en" w:eastAsia="zh-CN"/>
              </w:rPr>
              <w:t>“</w:t>
            </w:r>
            <w:r>
              <w:rPr>
                <w:rFonts w:hint="eastAsia" w:eastAsia="仿宋_GB2312" w:cs="仿宋_GB2312"/>
                <w:snapToGrid w:val="0"/>
                <w:kern w:val="0"/>
                <w:sz w:val="24"/>
                <w:szCs w:val="24"/>
              </w:rPr>
              <w:t>互联网</w:t>
            </w:r>
            <w:r>
              <w:rPr>
                <w:rFonts w:eastAsia="仿宋_GB2312"/>
                <w:snapToGrid w:val="0"/>
                <w:kern w:val="0"/>
                <w:sz w:val="24"/>
                <w:szCs w:val="24"/>
              </w:rPr>
              <w:t>+</w:t>
            </w:r>
            <w:r>
              <w:rPr>
                <w:rFonts w:hint="eastAsia" w:eastAsia="仿宋_GB2312" w:cs="仿宋_GB2312"/>
                <w:snapToGrid w:val="0"/>
                <w:kern w:val="0"/>
                <w:sz w:val="24"/>
                <w:szCs w:val="24"/>
              </w:rPr>
              <w:t>明厨亮灶</w:t>
            </w:r>
            <w:r>
              <w:rPr>
                <w:rFonts w:hint="eastAsia" w:eastAsia="仿宋_GB2312"/>
                <w:snapToGrid w:val="0"/>
                <w:kern w:val="0"/>
                <w:sz w:val="24"/>
                <w:szCs w:val="24"/>
                <w:lang w:eastAsia="zh-CN"/>
              </w:rPr>
              <w:t>”</w:t>
            </w:r>
            <w:r>
              <w:rPr>
                <w:rFonts w:hint="eastAsia" w:eastAsia="仿宋_GB2312" w:cs="仿宋_GB2312"/>
                <w:snapToGrid w:val="0"/>
                <w:kern w:val="0"/>
                <w:sz w:val="24"/>
                <w:szCs w:val="24"/>
              </w:rPr>
              <w:t>覆盖率达到</w:t>
            </w:r>
            <w:r>
              <w:rPr>
                <w:rFonts w:eastAsia="仿宋_GB2312"/>
                <w:snapToGrid w:val="0"/>
                <w:kern w:val="0"/>
                <w:sz w:val="24"/>
                <w:szCs w:val="24"/>
              </w:rPr>
              <w:t>100%</w:t>
            </w:r>
            <w:r>
              <w:rPr>
                <w:rFonts w:hint="eastAsia" w:eastAsia="仿宋_GB2312" w:cs="仿宋_GB2312"/>
                <w:snapToGrid w:val="0"/>
                <w:kern w:val="0"/>
                <w:sz w:val="24"/>
                <w:szCs w:val="24"/>
              </w:rPr>
              <w:t>，接受社会监督。</w:t>
            </w:r>
          </w:p>
        </w:tc>
        <w:tc>
          <w:tcPr>
            <w:tcW w:w="2010" w:type="dxa"/>
            <w:vAlign w:val="center"/>
          </w:tcPr>
          <w:p>
            <w:pPr>
              <w:numPr>
                <w:ilvl w:val="255"/>
                <w:numId w:val="0"/>
              </w:numPr>
              <w:snapToGrid w:val="0"/>
              <w:jc w:val="center"/>
              <w:rPr>
                <w:rFonts w:eastAsia="仿宋_GB2312"/>
                <w:snapToGrid w:val="0"/>
                <w:kern w:val="0"/>
                <w:sz w:val="24"/>
                <w:szCs w:val="24"/>
              </w:rPr>
            </w:pPr>
            <w:r>
              <w:rPr>
                <w:rFonts w:hint="eastAsia" w:eastAsia="仿宋_GB2312" w:cs="仿宋_GB2312"/>
                <w:snapToGrid w:val="0"/>
                <w:kern w:val="0"/>
                <w:sz w:val="24"/>
                <w:szCs w:val="24"/>
              </w:rPr>
              <w:t>国务院食品安全办组织验收组评审</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市教育体育局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市市场监管局，各县（市、区）人民政府、曲靖经开区管委会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0" w:type="dxa"/>
            <w:vAlign w:val="center"/>
          </w:tcPr>
          <w:p>
            <w:pPr>
              <w:numPr>
                <w:ilvl w:val="255"/>
                <w:numId w:val="0"/>
              </w:numPr>
              <w:snapToGrid w:val="0"/>
              <w:jc w:val="center"/>
              <w:rPr>
                <w:rFonts w:eastAsia="仿宋_GB2312"/>
                <w:snapToGrid w:val="0"/>
                <w:kern w:val="0"/>
                <w:sz w:val="24"/>
                <w:szCs w:val="24"/>
              </w:rPr>
            </w:pPr>
            <w:r>
              <w:rPr>
                <w:rFonts w:eastAsia="仿宋_GB2312"/>
                <w:snapToGrid w:val="0"/>
                <w:kern w:val="0"/>
                <w:sz w:val="24"/>
                <w:szCs w:val="24"/>
              </w:rPr>
              <w:t>33.</w:t>
            </w:r>
            <w:r>
              <w:rPr>
                <w:rFonts w:hint="eastAsia" w:eastAsia="仿宋_GB2312" w:cs="仿宋_GB2312"/>
                <w:snapToGrid w:val="0"/>
                <w:kern w:val="0"/>
                <w:sz w:val="24"/>
                <w:szCs w:val="24"/>
              </w:rPr>
              <w:t>科技创新</w:t>
            </w:r>
          </w:p>
          <w:p>
            <w:pPr>
              <w:numPr>
                <w:ilvl w:val="255"/>
                <w:numId w:val="0"/>
              </w:numPr>
              <w:snapToGrid w:val="0"/>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86</w:t>
            </w:r>
            <w:r>
              <w:rPr>
                <w:rFonts w:hint="eastAsia" w:eastAsia="仿宋_GB2312" w:cs="仿宋_GB2312"/>
                <w:snapToGrid w:val="0"/>
                <w:kern w:val="0"/>
                <w:sz w:val="24"/>
                <w:szCs w:val="24"/>
              </w:rPr>
              <w:t>）引导开展食品安全领域科技创新，加强新技术成果在食品安全监管和生产经营活动中的应用。</w:t>
            </w:r>
          </w:p>
        </w:tc>
        <w:tc>
          <w:tcPr>
            <w:tcW w:w="2010" w:type="dxa"/>
            <w:vAlign w:val="center"/>
          </w:tcPr>
          <w:p>
            <w:pPr>
              <w:widowControl/>
              <w:adjustRightInd w:val="0"/>
              <w:snapToGrid w:val="0"/>
              <w:jc w:val="center"/>
              <w:rPr>
                <w:rFonts w:eastAsia="仿宋_GB2312"/>
                <w:snapToGrid w:val="0"/>
                <w:kern w:val="0"/>
                <w:sz w:val="24"/>
                <w:szCs w:val="24"/>
              </w:rPr>
            </w:pPr>
            <w:r>
              <w:rPr>
                <w:rFonts w:hint="eastAsia" w:eastAsia="仿宋_GB2312" w:cs="仿宋_GB2312"/>
                <w:snapToGrid w:val="0"/>
                <w:kern w:val="0"/>
                <w:sz w:val="24"/>
                <w:szCs w:val="24"/>
              </w:rPr>
              <w:t>市场监管总局组织验收组评审</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市科技局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890" w:type="dxa"/>
            <w:vAlign w:val="center"/>
          </w:tcPr>
          <w:p>
            <w:pPr>
              <w:numPr>
                <w:ilvl w:val="255"/>
                <w:numId w:val="0"/>
              </w:numPr>
              <w:snapToGrid w:val="0"/>
              <w:jc w:val="center"/>
              <w:rPr>
                <w:rFonts w:eastAsia="仿宋_GB2312"/>
                <w:snapToGrid w:val="0"/>
                <w:kern w:val="0"/>
                <w:sz w:val="24"/>
                <w:szCs w:val="24"/>
              </w:rPr>
            </w:pPr>
            <w:r>
              <w:rPr>
                <w:rFonts w:eastAsia="仿宋_GB2312"/>
                <w:snapToGrid w:val="0"/>
                <w:kern w:val="0"/>
                <w:sz w:val="24"/>
                <w:szCs w:val="24"/>
              </w:rPr>
              <w:t>34.</w:t>
            </w:r>
            <w:r>
              <w:rPr>
                <w:rFonts w:hint="eastAsia" w:eastAsia="仿宋_GB2312" w:cs="仿宋_GB2312"/>
                <w:snapToGrid w:val="0"/>
                <w:kern w:val="0"/>
                <w:sz w:val="24"/>
                <w:szCs w:val="24"/>
              </w:rPr>
              <w:t>高质量发展</w:t>
            </w:r>
          </w:p>
          <w:p>
            <w:pPr>
              <w:numPr>
                <w:ilvl w:val="255"/>
                <w:numId w:val="0"/>
              </w:numPr>
              <w:snapToGrid w:val="0"/>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87</w:t>
            </w:r>
            <w:r>
              <w:rPr>
                <w:rFonts w:hint="eastAsia" w:eastAsia="仿宋_GB2312" w:cs="仿宋_GB2312"/>
                <w:snapToGrid w:val="0"/>
                <w:kern w:val="0"/>
                <w:sz w:val="24"/>
                <w:szCs w:val="24"/>
              </w:rPr>
              <w:t>）调整优化食品产业布局，通过引导食品企业延伸产业链条、建立优质原料生产基地及配套设施、加强与电商平台深度融合、打造有影响力的品牌等方式，推动食品产业转型升级。</w:t>
            </w:r>
          </w:p>
        </w:tc>
        <w:tc>
          <w:tcPr>
            <w:tcW w:w="2010" w:type="dxa"/>
            <w:vAlign w:val="center"/>
          </w:tcPr>
          <w:p>
            <w:pPr>
              <w:widowControl/>
              <w:adjustRightInd w:val="0"/>
              <w:snapToGrid w:val="0"/>
              <w:jc w:val="center"/>
              <w:rPr>
                <w:rFonts w:eastAsia="仿宋_GB2312"/>
                <w:snapToGrid w:val="0"/>
                <w:kern w:val="0"/>
                <w:sz w:val="24"/>
                <w:szCs w:val="24"/>
              </w:rPr>
            </w:pPr>
            <w:r>
              <w:rPr>
                <w:rFonts w:hint="eastAsia" w:eastAsia="仿宋_GB2312" w:cs="仿宋_GB2312"/>
                <w:snapToGrid w:val="0"/>
                <w:kern w:val="0"/>
                <w:sz w:val="24"/>
                <w:szCs w:val="24"/>
              </w:rPr>
              <w:t>国务院食品安全办组织验收组评审</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市工业和信息化局</w:t>
            </w:r>
          </w:p>
          <w:p>
            <w:pPr>
              <w:jc w:val="center"/>
              <w:rPr>
                <w:rFonts w:eastAsia="仿宋_GB2312"/>
                <w:snapToGrid w:val="0"/>
                <w:kern w:val="0"/>
                <w:sz w:val="24"/>
                <w:szCs w:val="24"/>
              </w:rPr>
            </w:pPr>
            <w:r>
              <w:rPr>
                <w:rFonts w:hint="eastAsia" w:eastAsia="仿宋_GB2312" w:cs="仿宋_GB2312"/>
                <w:snapToGrid w:val="0"/>
                <w:kern w:val="0"/>
                <w:sz w:val="24"/>
                <w:szCs w:val="24"/>
              </w:rPr>
              <w:t>市农业农村局</w:t>
            </w:r>
          </w:p>
          <w:p>
            <w:pPr>
              <w:jc w:val="center"/>
              <w:rPr>
                <w:rFonts w:eastAsia="仿宋_GB2312"/>
                <w:snapToGrid w:val="0"/>
                <w:kern w:val="0"/>
                <w:sz w:val="24"/>
                <w:szCs w:val="24"/>
              </w:rPr>
            </w:pPr>
            <w:r>
              <w:rPr>
                <w:rFonts w:hint="eastAsia" w:eastAsia="仿宋_GB2312" w:cs="仿宋_GB2312"/>
                <w:snapToGrid w:val="0"/>
                <w:kern w:val="0"/>
                <w:sz w:val="24"/>
                <w:szCs w:val="24"/>
              </w:rPr>
              <w:t>市商务局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市直各有关单位，各县（市、区）人民政府、曲靖经开区管委会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Align w:val="center"/>
          </w:tcPr>
          <w:p>
            <w:pPr>
              <w:snapToGrid w:val="0"/>
              <w:jc w:val="center"/>
              <w:rPr>
                <w:rFonts w:eastAsia="仿宋_GB2312"/>
                <w:snapToGrid w:val="0"/>
                <w:kern w:val="0"/>
                <w:sz w:val="24"/>
                <w:szCs w:val="24"/>
              </w:rPr>
            </w:pPr>
            <w:r>
              <w:rPr>
                <w:rFonts w:eastAsia="仿宋_GB2312"/>
                <w:snapToGrid w:val="0"/>
                <w:kern w:val="0"/>
                <w:sz w:val="24"/>
                <w:szCs w:val="24"/>
              </w:rPr>
              <w:t>35.</w:t>
            </w:r>
            <w:r>
              <w:rPr>
                <w:rFonts w:hint="eastAsia" w:eastAsia="仿宋_GB2312" w:cs="仿宋_GB2312"/>
                <w:snapToGrid w:val="0"/>
                <w:kern w:val="0"/>
                <w:sz w:val="24"/>
                <w:szCs w:val="24"/>
              </w:rPr>
              <w:t>社会共治</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88</w:t>
            </w:r>
            <w:r>
              <w:rPr>
                <w:rFonts w:hint="eastAsia" w:eastAsia="仿宋_GB2312" w:cs="仿宋_GB2312"/>
                <w:snapToGrid w:val="0"/>
                <w:kern w:val="0"/>
                <w:sz w:val="24"/>
                <w:szCs w:val="24"/>
              </w:rPr>
              <w:t>）建立健全社会共治制度机制，创新食品安全科普宣传形式，有效治理造谣传谣、欺诈和虚假宣传行为。</w:t>
            </w:r>
          </w:p>
        </w:tc>
        <w:tc>
          <w:tcPr>
            <w:tcW w:w="2010" w:type="dxa"/>
            <w:vAlign w:val="center"/>
          </w:tcPr>
          <w:p>
            <w:pPr>
              <w:widowControl/>
              <w:adjustRightInd w:val="0"/>
              <w:snapToGrid w:val="0"/>
              <w:jc w:val="center"/>
              <w:rPr>
                <w:rFonts w:eastAsia="仿宋_GB2312"/>
                <w:snapToGrid w:val="0"/>
                <w:kern w:val="0"/>
                <w:sz w:val="24"/>
                <w:szCs w:val="24"/>
              </w:rPr>
            </w:pPr>
            <w:r>
              <w:rPr>
                <w:rFonts w:hint="eastAsia" w:eastAsia="仿宋_GB2312" w:cs="仿宋_GB2312"/>
                <w:snapToGrid w:val="0"/>
                <w:kern w:val="0"/>
                <w:sz w:val="24"/>
                <w:szCs w:val="24"/>
              </w:rPr>
              <w:t>市场监管总局组织验收组评审</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市市场监管局</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市委网信办、市政府新闻办、市公安局等市直有关部门，各县（市、区）人民政府、曲靖经开区管委会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890" w:type="dxa"/>
            <w:vAlign w:val="center"/>
          </w:tcPr>
          <w:p>
            <w:pPr>
              <w:snapToGrid w:val="0"/>
              <w:jc w:val="center"/>
              <w:rPr>
                <w:rFonts w:eastAsia="仿宋_GB2312"/>
                <w:snapToGrid w:val="0"/>
                <w:kern w:val="0"/>
                <w:sz w:val="24"/>
                <w:szCs w:val="24"/>
              </w:rPr>
            </w:pPr>
            <w:r>
              <w:rPr>
                <w:rFonts w:eastAsia="仿宋_GB2312"/>
                <w:snapToGrid w:val="0"/>
                <w:kern w:val="0"/>
                <w:sz w:val="24"/>
                <w:szCs w:val="24"/>
              </w:rPr>
              <w:t>36.</w:t>
            </w:r>
            <w:r>
              <w:rPr>
                <w:rFonts w:hint="eastAsia" w:eastAsia="仿宋_GB2312" w:cs="仿宋_GB2312"/>
                <w:snapToGrid w:val="0"/>
                <w:kern w:val="0"/>
                <w:sz w:val="24"/>
                <w:szCs w:val="24"/>
              </w:rPr>
              <w:t>其他创新举措</w:t>
            </w:r>
          </w:p>
          <w:p>
            <w:pPr>
              <w:snapToGrid w:val="0"/>
              <w:jc w:val="cente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5</w:t>
            </w:r>
            <w:r>
              <w:rPr>
                <w:rFonts w:hint="eastAsia" w:eastAsia="仿宋_GB2312" w:cs="仿宋_GB2312"/>
                <w:snapToGrid w:val="0"/>
                <w:kern w:val="0"/>
                <w:sz w:val="24"/>
                <w:szCs w:val="24"/>
              </w:rPr>
              <w:t>分）</w:t>
            </w:r>
          </w:p>
        </w:tc>
        <w:tc>
          <w:tcPr>
            <w:tcW w:w="4769"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89</w:t>
            </w:r>
            <w:r>
              <w:rPr>
                <w:rFonts w:hint="eastAsia" w:eastAsia="仿宋_GB2312" w:cs="仿宋_GB2312"/>
                <w:snapToGrid w:val="0"/>
                <w:kern w:val="0"/>
                <w:sz w:val="24"/>
                <w:szCs w:val="24"/>
              </w:rPr>
              <w:t>）创建城市结合本地工作实际，创新监管举措，取得显著成效。</w:t>
            </w:r>
          </w:p>
        </w:tc>
        <w:tc>
          <w:tcPr>
            <w:tcW w:w="2010" w:type="dxa"/>
            <w:vAlign w:val="center"/>
          </w:tcPr>
          <w:p>
            <w:pPr>
              <w:widowControl/>
              <w:adjustRightInd w:val="0"/>
              <w:snapToGrid w:val="0"/>
              <w:jc w:val="center"/>
              <w:rPr>
                <w:rFonts w:eastAsia="仿宋_GB2312"/>
                <w:snapToGrid w:val="0"/>
                <w:kern w:val="0"/>
                <w:sz w:val="24"/>
                <w:szCs w:val="24"/>
              </w:rPr>
            </w:pPr>
            <w:r>
              <w:rPr>
                <w:rFonts w:hint="eastAsia" w:eastAsia="仿宋_GB2312" w:cs="仿宋_GB2312"/>
                <w:snapToGrid w:val="0"/>
                <w:kern w:val="0"/>
                <w:sz w:val="24"/>
                <w:szCs w:val="24"/>
              </w:rPr>
              <w:t>市场监管总局组织验收组评审</w:t>
            </w:r>
          </w:p>
        </w:tc>
        <w:tc>
          <w:tcPr>
            <w:tcW w:w="3121"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市政府食品安全委员会成员单位</w:t>
            </w:r>
          </w:p>
        </w:tc>
        <w:tc>
          <w:tcPr>
            <w:tcW w:w="3450" w:type="dxa"/>
            <w:vAlign w:val="center"/>
          </w:tcPr>
          <w:p>
            <w:pPr>
              <w:snapToGrid w:val="0"/>
              <w:rPr>
                <w:rFonts w:eastAsia="仿宋_GB2312"/>
                <w:snapToGrid w:val="0"/>
                <w:kern w:val="0"/>
                <w:sz w:val="24"/>
                <w:szCs w:val="24"/>
              </w:rPr>
            </w:pPr>
            <w:r>
              <w:rPr>
                <w:rFonts w:hint="eastAsia" w:eastAsia="仿宋_GB2312" w:cs="仿宋_GB2312"/>
                <w:snapToGrid w:val="0"/>
                <w:kern w:val="0"/>
                <w:sz w:val="24"/>
                <w:szCs w:val="24"/>
              </w:rPr>
              <w:t>各县（市、区）人民政府、曲靖经开区管委会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40" w:type="dxa"/>
            <w:gridSpan w:val="5"/>
            <w:vAlign w:val="center"/>
          </w:tcPr>
          <w:p>
            <w:pPr>
              <w:rPr>
                <w:rFonts w:eastAsia="黑体fal"/>
                <w:snapToGrid w:val="0"/>
                <w:kern w:val="0"/>
                <w:sz w:val="28"/>
                <w:szCs w:val="28"/>
              </w:rPr>
            </w:pPr>
            <w:r>
              <w:rPr>
                <w:rFonts w:hint="eastAsia" w:eastAsia="黑体fal" w:cs="黑体fal"/>
                <w:snapToGrid w:val="0"/>
                <w:kern w:val="0"/>
                <w:sz w:val="28"/>
                <w:szCs w:val="28"/>
              </w:rPr>
              <w:t>六、否决项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659" w:type="dxa"/>
            <w:gridSpan w:val="2"/>
            <w:vAlign w:val="center"/>
          </w:tcPr>
          <w:p>
            <w:pP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90</w:t>
            </w:r>
            <w:r>
              <w:rPr>
                <w:rFonts w:hint="eastAsia" w:eastAsia="仿宋_GB2312" w:cs="仿宋_GB2312"/>
                <w:snapToGrid w:val="0"/>
                <w:kern w:val="0"/>
                <w:sz w:val="24"/>
                <w:szCs w:val="24"/>
              </w:rPr>
              <w:t>）党政领导干部未严格落实《地方党政领导干部食品安全责任制规定》明确的工作职责。</w:t>
            </w:r>
          </w:p>
        </w:tc>
        <w:tc>
          <w:tcPr>
            <w:tcW w:w="2010" w:type="dxa"/>
            <w:vAlign w:val="center"/>
          </w:tcPr>
          <w:p>
            <w:pPr>
              <w:widowControl/>
              <w:adjustRightInd w:val="0"/>
              <w:snapToGrid w:val="0"/>
              <w:jc w:val="center"/>
              <w:rPr>
                <w:rFonts w:eastAsia="仿宋_GB2312"/>
                <w:snapToGrid w:val="0"/>
                <w:kern w:val="0"/>
                <w:sz w:val="24"/>
                <w:szCs w:val="24"/>
              </w:rPr>
            </w:pPr>
            <w:r>
              <w:rPr>
                <w:rFonts w:hint="eastAsia" w:eastAsia="仿宋_GB2312" w:cs="仿宋_GB2312"/>
                <w:snapToGrid w:val="0"/>
                <w:kern w:val="0"/>
                <w:sz w:val="24"/>
                <w:szCs w:val="24"/>
              </w:rPr>
              <w:t>资料审查</w:t>
            </w:r>
          </w:p>
          <w:p>
            <w:pPr>
              <w:widowControl/>
              <w:adjustRightInd w:val="0"/>
              <w:snapToGrid w:val="0"/>
              <w:jc w:val="center"/>
              <w:rPr>
                <w:rFonts w:eastAsia="仿宋_GB2312"/>
                <w:snapToGrid w:val="0"/>
                <w:kern w:val="0"/>
                <w:sz w:val="24"/>
                <w:szCs w:val="24"/>
              </w:rPr>
            </w:pPr>
            <w:r>
              <w:rPr>
                <w:rFonts w:hint="eastAsia" w:eastAsia="仿宋_GB2312" w:cs="仿宋_GB2312"/>
                <w:snapToGrid w:val="0"/>
                <w:kern w:val="0"/>
                <w:sz w:val="24"/>
                <w:szCs w:val="24"/>
              </w:rPr>
              <w:t>党政领导访谈</w:t>
            </w:r>
          </w:p>
        </w:tc>
        <w:tc>
          <w:tcPr>
            <w:tcW w:w="3121" w:type="dxa"/>
            <w:vAlign w:val="center"/>
          </w:tcPr>
          <w:p>
            <w:pPr>
              <w:jc w:val="center"/>
              <w:rPr>
                <w:rFonts w:eastAsia="仿宋_GB2312"/>
                <w:snapToGrid w:val="0"/>
                <w:kern w:val="0"/>
                <w:sz w:val="24"/>
                <w:szCs w:val="24"/>
              </w:rPr>
            </w:pPr>
          </w:p>
        </w:tc>
        <w:tc>
          <w:tcPr>
            <w:tcW w:w="3450" w:type="dxa"/>
            <w:vAlign w:val="center"/>
          </w:tcPr>
          <w:p>
            <w:pPr>
              <w:widowControl/>
              <w:adjustRightInd w:val="0"/>
              <w:snapToGrid w:val="0"/>
              <w:jc w:val="left"/>
              <w:rPr>
                <w:rFonts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659" w:type="dxa"/>
            <w:gridSpan w:val="2"/>
            <w:vAlign w:val="center"/>
          </w:tcPr>
          <w:p>
            <w:pP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91</w:t>
            </w:r>
            <w:r>
              <w:rPr>
                <w:rFonts w:hint="eastAsia" w:eastAsia="仿宋_GB2312" w:cs="仿宋_GB2312"/>
                <w:snapToGrid w:val="0"/>
                <w:kern w:val="0"/>
                <w:sz w:val="24"/>
                <w:szCs w:val="24"/>
              </w:rPr>
              <w:t>）三年内发生重大及以上食品安全事故。</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国务院食品安全办会同相关部门评价</w:t>
            </w:r>
          </w:p>
        </w:tc>
        <w:tc>
          <w:tcPr>
            <w:tcW w:w="3121" w:type="dxa"/>
            <w:vAlign w:val="center"/>
          </w:tcPr>
          <w:p>
            <w:pPr>
              <w:jc w:val="center"/>
              <w:rPr>
                <w:rFonts w:eastAsia="仿宋_GB2312"/>
                <w:snapToGrid w:val="0"/>
                <w:kern w:val="0"/>
                <w:sz w:val="24"/>
                <w:szCs w:val="24"/>
              </w:rPr>
            </w:pPr>
          </w:p>
        </w:tc>
        <w:tc>
          <w:tcPr>
            <w:tcW w:w="3450" w:type="dxa"/>
            <w:vAlign w:val="center"/>
          </w:tcPr>
          <w:p>
            <w:pPr>
              <w:jc w:val="left"/>
              <w:rPr>
                <w:rFonts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659" w:type="dxa"/>
            <w:gridSpan w:val="2"/>
            <w:vAlign w:val="center"/>
          </w:tcPr>
          <w:p>
            <w:pPr>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92</w:t>
            </w:r>
            <w:r>
              <w:rPr>
                <w:rFonts w:hint="eastAsia" w:eastAsia="仿宋_GB2312" w:cs="仿宋_GB2312"/>
                <w:snapToGrid w:val="0"/>
                <w:kern w:val="0"/>
                <w:sz w:val="24"/>
                <w:szCs w:val="24"/>
              </w:rPr>
              <w:t>）三年内发生农药兽药残留超标、非法添加、校园食品安全等事件，引发广泛关注、造成严重不良社会影响。</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国务院食品安全办会同相关部门评价</w:t>
            </w:r>
          </w:p>
        </w:tc>
        <w:tc>
          <w:tcPr>
            <w:tcW w:w="3121" w:type="dxa"/>
            <w:vAlign w:val="center"/>
          </w:tcPr>
          <w:p>
            <w:pPr>
              <w:jc w:val="center"/>
              <w:rPr>
                <w:rFonts w:eastAsia="仿宋_GB2312"/>
                <w:snapToGrid w:val="0"/>
                <w:kern w:val="0"/>
                <w:sz w:val="24"/>
                <w:szCs w:val="24"/>
              </w:rPr>
            </w:pPr>
          </w:p>
        </w:tc>
        <w:tc>
          <w:tcPr>
            <w:tcW w:w="3450" w:type="dxa"/>
            <w:vAlign w:val="center"/>
          </w:tcPr>
          <w:p>
            <w:pPr>
              <w:jc w:val="left"/>
              <w:rPr>
                <w:rFonts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659" w:type="dxa"/>
            <w:gridSpan w:val="2"/>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93</w:t>
            </w:r>
            <w:r>
              <w:rPr>
                <w:rFonts w:hint="eastAsia" w:eastAsia="仿宋_GB2312" w:cs="仿宋_GB2312"/>
                <w:snapToGrid w:val="0"/>
                <w:kern w:val="0"/>
                <w:sz w:val="24"/>
                <w:szCs w:val="24"/>
              </w:rPr>
              <w:t>）群众食品安全满意度未达到</w:t>
            </w:r>
            <w:r>
              <w:rPr>
                <w:rFonts w:eastAsia="仿宋_GB2312"/>
                <w:snapToGrid w:val="0"/>
                <w:kern w:val="0"/>
                <w:sz w:val="24"/>
                <w:szCs w:val="24"/>
              </w:rPr>
              <w:t>80</w:t>
            </w:r>
            <w:r>
              <w:rPr>
                <w:rFonts w:hint="eastAsia" w:eastAsia="仿宋_GB2312" w:cs="仿宋_GB2312"/>
                <w:snapToGrid w:val="0"/>
                <w:kern w:val="0"/>
                <w:sz w:val="24"/>
                <w:szCs w:val="24"/>
              </w:rPr>
              <w:t>分。</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委托第三方机构开展测评</w:t>
            </w:r>
          </w:p>
        </w:tc>
        <w:tc>
          <w:tcPr>
            <w:tcW w:w="3121" w:type="dxa"/>
            <w:vAlign w:val="center"/>
          </w:tcPr>
          <w:p>
            <w:pPr>
              <w:jc w:val="center"/>
              <w:rPr>
                <w:rFonts w:eastAsia="仿宋_GB2312"/>
                <w:snapToGrid w:val="0"/>
                <w:kern w:val="0"/>
                <w:sz w:val="24"/>
                <w:szCs w:val="24"/>
              </w:rPr>
            </w:pPr>
          </w:p>
        </w:tc>
        <w:tc>
          <w:tcPr>
            <w:tcW w:w="3450" w:type="dxa"/>
            <w:vAlign w:val="center"/>
          </w:tcPr>
          <w:p>
            <w:pPr>
              <w:jc w:val="left"/>
              <w:rPr>
                <w:rFonts w:eastAsia="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659" w:type="dxa"/>
            <w:gridSpan w:val="2"/>
            <w:vAlign w:val="center"/>
          </w:tcPr>
          <w:p>
            <w:pPr>
              <w:jc w:val="left"/>
              <w:rPr>
                <w:rFonts w:eastAsia="仿宋_GB2312"/>
                <w:snapToGrid w:val="0"/>
                <w:kern w:val="0"/>
                <w:sz w:val="24"/>
                <w:szCs w:val="24"/>
              </w:rPr>
            </w:pPr>
            <w:r>
              <w:rPr>
                <w:rFonts w:hint="eastAsia" w:eastAsia="仿宋_GB2312" w:cs="仿宋_GB2312"/>
                <w:snapToGrid w:val="0"/>
                <w:kern w:val="0"/>
                <w:sz w:val="24"/>
                <w:szCs w:val="24"/>
              </w:rPr>
              <w:t>（</w:t>
            </w:r>
            <w:r>
              <w:rPr>
                <w:rFonts w:eastAsia="仿宋_GB2312"/>
                <w:snapToGrid w:val="0"/>
                <w:kern w:val="0"/>
                <w:sz w:val="24"/>
                <w:szCs w:val="24"/>
              </w:rPr>
              <w:t>94</w:t>
            </w:r>
            <w:r>
              <w:rPr>
                <w:rFonts w:hint="eastAsia" w:eastAsia="仿宋_GB2312" w:cs="仿宋_GB2312"/>
                <w:snapToGrid w:val="0"/>
                <w:kern w:val="0"/>
                <w:sz w:val="24"/>
                <w:szCs w:val="24"/>
              </w:rPr>
              <w:t>）食品评价性抽检合格率未达到</w:t>
            </w:r>
            <w:r>
              <w:rPr>
                <w:rFonts w:eastAsia="仿宋_GB2312"/>
                <w:snapToGrid w:val="0"/>
                <w:kern w:val="0"/>
                <w:sz w:val="24"/>
                <w:szCs w:val="24"/>
              </w:rPr>
              <w:t>98%</w:t>
            </w:r>
            <w:r>
              <w:rPr>
                <w:rFonts w:hint="eastAsia" w:eastAsia="仿宋_GB2312" w:cs="仿宋_GB2312"/>
                <w:snapToGrid w:val="0"/>
                <w:kern w:val="0"/>
                <w:sz w:val="24"/>
                <w:szCs w:val="24"/>
              </w:rPr>
              <w:t>。</w:t>
            </w:r>
          </w:p>
        </w:tc>
        <w:tc>
          <w:tcPr>
            <w:tcW w:w="2010" w:type="dxa"/>
            <w:vAlign w:val="center"/>
          </w:tcPr>
          <w:p>
            <w:pPr>
              <w:jc w:val="center"/>
              <w:rPr>
                <w:rFonts w:eastAsia="仿宋_GB2312"/>
                <w:snapToGrid w:val="0"/>
                <w:kern w:val="0"/>
                <w:sz w:val="24"/>
                <w:szCs w:val="24"/>
              </w:rPr>
            </w:pPr>
            <w:r>
              <w:rPr>
                <w:rFonts w:hint="eastAsia" w:eastAsia="仿宋_GB2312" w:cs="仿宋_GB2312"/>
                <w:snapToGrid w:val="0"/>
                <w:kern w:val="0"/>
                <w:sz w:val="24"/>
                <w:szCs w:val="24"/>
              </w:rPr>
              <w:t>根据相关部门掌握情况进行评价</w:t>
            </w:r>
          </w:p>
        </w:tc>
        <w:tc>
          <w:tcPr>
            <w:tcW w:w="3121" w:type="dxa"/>
            <w:vAlign w:val="center"/>
          </w:tcPr>
          <w:p>
            <w:pPr>
              <w:jc w:val="center"/>
              <w:rPr>
                <w:rFonts w:eastAsia="仿宋_GB2312"/>
                <w:snapToGrid w:val="0"/>
                <w:kern w:val="0"/>
                <w:sz w:val="24"/>
                <w:szCs w:val="24"/>
              </w:rPr>
            </w:pPr>
          </w:p>
        </w:tc>
        <w:tc>
          <w:tcPr>
            <w:tcW w:w="3450" w:type="dxa"/>
            <w:vAlign w:val="center"/>
          </w:tcPr>
          <w:p>
            <w:pPr>
              <w:jc w:val="left"/>
              <w:rPr>
                <w:rFonts w:eastAsia="仿宋_GB2312"/>
                <w:snapToGrid w:val="0"/>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方正黑体_GBK"/>
          <w:snapToGrid w:val="0"/>
          <w:kern w:val="0"/>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黑体fal"/>
          <w:snapToGrid w:val="0"/>
          <w:kern w:val="0"/>
          <w:sz w:val="24"/>
          <w:szCs w:val="24"/>
        </w:rPr>
      </w:pPr>
      <w:r>
        <w:rPr>
          <w:rFonts w:hint="eastAsia" w:eastAsia="黑体fal" w:cs="黑体fal"/>
          <w:snapToGrid w:val="0"/>
          <w:kern w:val="0"/>
          <w:sz w:val="24"/>
          <w:szCs w:val="24"/>
        </w:rPr>
        <w:t>备注：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eastAsia="仿宋_GB2312"/>
          <w:snapToGrid w:val="0"/>
          <w:kern w:val="0"/>
          <w:sz w:val="24"/>
          <w:szCs w:val="24"/>
        </w:rPr>
      </w:pPr>
      <w:r>
        <w:rPr>
          <w:rFonts w:eastAsia="仿宋_GB2312"/>
          <w:snapToGrid w:val="0"/>
          <w:kern w:val="0"/>
          <w:sz w:val="24"/>
          <w:szCs w:val="24"/>
        </w:rPr>
        <w:t>1.</w:t>
      </w:r>
      <w:r>
        <w:rPr>
          <w:rFonts w:hint="eastAsia" w:eastAsia="仿宋_GB2312" w:cs="仿宋_GB2312"/>
          <w:snapToGrid w:val="0"/>
          <w:kern w:val="0"/>
          <w:sz w:val="24"/>
          <w:szCs w:val="24"/>
        </w:rPr>
        <w:t>国务院食品安全办组织制定《国家食品安全示范城市评价细则（</w:t>
      </w:r>
      <w:r>
        <w:rPr>
          <w:rFonts w:eastAsia="仿宋_GB2312"/>
          <w:snapToGrid w:val="0"/>
          <w:kern w:val="0"/>
          <w:sz w:val="24"/>
          <w:szCs w:val="24"/>
        </w:rPr>
        <w:t>2021</w:t>
      </w:r>
      <w:r>
        <w:rPr>
          <w:rFonts w:hint="eastAsia" w:eastAsia="仿宋_GB2312" w:cs="仿宋_GB2312"/>
          <w:snapToGrid w:val="0"/>
          <w:kern w:val="0"/>
          <w:sz w:val="24"/>
          <w:szCs w:val="24"/>
        </w:rPr>
        <w:t>版）》（以下简称《评价细则》），用于开展</w:t>
      </w:r>
      <w:r>
        <w:rPr>
          <w:rFonts w:eastAsia="仿宋_GB2312"/>
          <w:snapToGrid w:val="0"/>
          <w:kern w:val="0"/>
          <w:sz w:val="24"/>
          <w:szCs w:val="24"/>
        </w:rPr>
        <w:t>2021</w:t>
      </w:r>
      <w:r>
        <w:rPr>
          <w:rFonts w:hint="eastAsia" w:eastAsia="仿宋_GB2312" w:cs="仿宋_GB2312"/>
          <w:snapToGrid w:val="0"/>
          <w:kern w:val="0"/>
          <w:sz w:val="24"/>
          <w:szCs w:val="24"/>
        </w:rPr>
        <w:t>年国家食品安全示范城市的评价验收和复审，包括但不限于《评价细则》所列评价内容。其中，需资料审查的评价内容，要严格按照中央关于解决形式主义突出问题为基层减负的有关要求，精简精准提供材料。</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eastAsia="仿宋_GB2312"/>
          <w:snapToGrid w:val="0"/>
          <w:kern w:val="0"/>
          <w:sz w:val="24"/>
          <w:szCs w:val="24"/>
        </w:rPr>
      </w:pPr>
      <w:r>
        <w:rPr>
          <w:rFonts w:eastAsia="仿宋_GB2312"/>
          <w:snapToGrid w:val="0"/>
          <w:kern w:val="0"/>
          <w:sz w:val="24"/>
          <w:szCs w:val="24"/>
        </w:rPr>
        <w:t>2.</w:t>
      </w:r>
      <w:r>
        <w:rPr>
          <w:rFonts w:hint="eastAsia" w:eastAsia="仿宋_GB2312" w:cs="仿宋_GB2312"/>
          <w:snapToGrid w:val="0"/>
          <w:kern w:val="0"/>
          <w:sz w:val="24"/>
          <w:szCs w:val="24"/>
        </w:rPr>
        <w:t>《评价细则》所称食品安全包含食用农产品、食品添加剂和食品相关产品质量安全；所称食品安全监管包含食品生产、食品经营、食品抽检和执法稽查等相关工作。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eastAsia="仿宋_GB2312"/>
          <w:snapToGrid w:val="0"/>
          <w:kern w:val="0"/>
          <w:sz w:val="24"/>
          <w:szCs w:val="24"/>
        </w:rPr>
      </w:pPr>
      <w:r>
        <w:rPr>
          <w:rFonts w:eastAsia="仿宋_GB2312"/>
          <w:snapToGrid w:val="0"/>
          <w:kern w:val="0"/>
          <w:sz w:val="24"/>
          <w:szCs w:val="24"/>
        </w:rPr>
        <w:t>3.</w:t>
      </w:r>
      <w:r>
        <w:rPr>
          <w:rFonts w:hint="eastAsia" w:eastAsia="仿宋_GB2312" w:cs="仿宋_GB2312"/>
          <w:snapToGrid w:val="0"/>
          <w:kern w:val="0"/>
          <w:sz w:val="24"/>
          <w:szCs w:val="24"/>
        </w:rPr>
        <w:t>《评价细则》中涉及百分比的，以上包括本数，以下不包括本数。</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eastAsia="仿宋_GB2312"/>
          <w:snapToGrid w:val="0"/>
          <w:kern w:val="0"/>
          <w:sz w:val="24"/>
          <w:szCs w:val="24"/>
        </w:rPr>
      </w:pPr>
      <w:r>
        <w:rPr>
          <w:rFonts w:eastAsia="仿宋_GB2312"/>
          <w:snapToGrid w:val="0"/>
          <w:kern w:val="0"/>
          <w:sz w:val="24"/>
          <w:szCs w:val="24"/>
        </w:rPr>
        <w:t>4.</w:t>
      </w:r>
      <w:r>
        <w:rPr>
          <w:rFonts w:hint="eastAsia" w:eastAsia="仿宋_GB2312" w:cs="仿宋_GB2312"/>
          <w:snapToGrid w:val="0"/>
          <w:kern w:val="0"/>
          <w:sz w:val="24"/>
          <w:szCs w:val="24"/>
        </w:rPr>
        <w:t>规模以上企业和单位：按照统计学口径，目前指年主营业务收入在</w:t>
      </w:r>
      <w:r>
        <w:rPr>
          <w:rFonts w:eastAsia="仿宋_GB2312"/>
          <w:snapToGrid w:val="0"/>
          <w:kern w:val="0"/>
          <w:sz w:val="24"/>
          <w:szCs w:val="24"/>
        </w:rPr>
        <w:t>2000</w:t>
      </w:r>
      <w:r>
        <w:rPr>
          <w:rFonts w:hint="eastAsia" w:eastAsia="仿宋_GB2312" w:cs="仿宋_GB2312"/>
          <w:snapToGrid w:val="0"/>
          <w:kern w:val="0"/>
          <w:sz w:val="24"/>
          <w:szCs w:val="24"/>
        </w:rPr>
        <w:t>万元及以上的食品生产企业（单位），年销售额在</w:t>
      </w:r>
      <w:r>
        <w:rPr>
          <w:rFonts w:eastAsia="仿宋_GB2312"/>
          <w:snapToGrid w:val="0"/>
          <w:kern w:val="0"/>
          <w:sz w:val="24"/>
          <w:szCs w:val="24"/>
        </w:rPr>
        <w:t>2000</w:t>
      </w:r>
      <w:r>
        <w:rPr>
          <w:rFonts w:hint="eastAsia" w:eastAsia="仿宋_GB2312" w:cs="仿宋_GB2312"/>
          <w:snapToGrid w:val="0"/>
          <w:kern w:val="0"/>
          <w:sz w:val="24"/>
          <w:szCs w:val="24"/>
        </w:rPr>
        <w:t>万及以上的食品经营企业（单位）。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eastAsia="仿宋_GB2312"/>
          <w:snapToGrid w:val="0"/>
          <w:kern w:val="0"/>
          <w:sz w:val="24"/>
          <w:szCs w:val="24"/>
        </w:rPr>
      </w:pPr>
      <w:r>
        <w:rPr>
          <w:rFonts w:eastAsia="仿宋_GB2312"/>
          <w:snapToGrid w:val="0"/>
          <w:kern w:val="0"/>
          <w:sz w:val="24"/>
          <w:szCs w:val="24"/>
        </w:rPr>
        <w:t>5.</w:t>
      </w:r>
      <w:r>
        <w:rPr>
          <w:rFonts w:hint="eastAsia" w:eastAsia="仿宋_GB2312" w:cs="仿宋_GB2312"/>
          <w:snapToGrid w:val="0"/>
          <w:kern w:val="0"/>
          <w:sz w:val="24"/>
          <w:szCs w:val="24"/>
        </w:rPr>
        <w:t>大型食品生产企业：按照统计学口径，目前指年主营业务收入在</w:t>
      </w:r>
      <w:r>
        <w:rPr>
          <w:rFonts w:eastAsia="仿宋_GB2312"/>
          <w:snapToGrid w:val="0"/>
          <w:kern w:val="0"/>
          <w:sz w:val="24"/>
          <w:szCs w:val="24"/>
        </w:rPr>
        <w:t>4</w:t>
      </w:r>
      <w:r>
        <w:rPr>
          <w:rFonts w:hint="eastAsia" w:eastAsia="仿宋_GB2312" w:cs="仿宋_GB2312"/>
          <w:snapToGrid w:val="0"/>
          <w:kern w:val="0"/>
          <w:sz w:val="24"/>
          <w:szCs w:val="24"/>
        </w:rPr>
        <w:t>亿元及以上的食品生产企业（单位）。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sectPr>
          <w:footerReference r:id="rId3" w:type="default"/>
          <w:footerReference r:id="rId4" w:type="even"/>
          <w:pgSz w:w="16838" w:h="11906" w:orient="landscape"/>
          <w:pgMar w:top="1134" w:right="1134" w:bottom="1134" w:left="1134" w:header="851" w:footer="850" w:gutter="0"/>
          <w:cols w:space="0" w:num="1"/>
          <w:docGrid w:linePitch="312" w:charSpace="0"/>
        </w:sectPr>
      </w:pPr>
      <w:r>
        <w:rPr>
          <w:sz w:val="24"/>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1868805</wp:posOffset>
                </wp:positionV>
                <wp:extent cx="1152525" cy="361950"/>
                <wp:effectExtent l="5080" t="4445" r="4445" b="14605"/>
                <wp:wrapNone/>
                <wp:docPr id="15" name="文本框 19"/>
                <wp:cNvGraphicFramePr/>
                <a:graphic xmlns:a="http://schemas.openxmlformats.org/drawingml/2006/main">
                  <a:graphicData uri="http://schemas.microsoft.com/office/word/2010/wordprocessingShape">
                    <wps:wsp>
                      <wps:cNvSpPr txBox="1"/>
                      <wps:spPr>
                        <a:xfrm>
                          <a:off x="659765" y="6832600"/>
                          <a:ext cx="1152525" cy="36195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vert="horz" anchor="t" anchorCtr="0" upright="1"/>
                    </wps:wsp>
                  </a:graphicData>
                </a:graphic>
              </wp:anchor>
            </w:drawing>
          </mc:Choice>
          <mc:Fallback>
            <w:pict>
              <v:shape id="文本框 19" o:spid="_x0000_s1026" o:spt="202" type="#_x0000_t202" style="position:absolute;left:0pt;margin-left:-4.75pt;margin-top:147.15pt;height:28.5pt;width:90.75pt;z-index:251663360;mso-width-relative:page;mso-height-relative:page;" fillcolor="#FFFFFF" filled="t" stroked="t" coordsize="21600,21600" o:gfxdata="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U10dkAAAAKAQAADwAAAAAAAAABACAAAAAi&#10;AAAAZHJzL2Rvd25yZXYueG1sUEsBAhQAFAAAAAgAh07iQHM+ap0JAgAAGgQAAA4AAAAAAAAAAQAg&#10;AAAAKAEAAGRycy9lMm9Eb2MueG1sUEsFBgAAAAAGAAYAWQEAAKMFAAAAAA==&#10;">
                <v:fill on="t" focussize="0,0"/>
                <v:stroke color="#FFFFFF" joinstyle="miter"/>
                <v:imagedata o:title=""/>
                <o:lock v:ext="edit" aspectratio="f"/>
                <v:textbox>
                  <w:txbxContent>
                    <w:p/>
                  </w:txbxContent>
                </v:textbox>
              </v:shape>
            </w:pict>
          </mc:Fallback>
        </mc:AlternateContent>
      </w:r>
      <w:r>
        <w:rPr>
          <w:rFonts w:eastAsia="仿宋_GB2312"/>
          <w:snapToGrid w:val="0"/>
          <w:kern w:val="0"/>
          <w:sz w:val="24"/>
          <w:szCs w:val="24"/>
        </w:rPr>
        <w:t>6.</w:t>
      </w:r>
      <w:r>
        <w:rPr>
          <w:rFonts w:hint="eastAsia" w:eastAsia="仿宋_GB2312" w:cs="仿宋_GB2312"/>
          <w:snapToGrid w:val="0"/>
          <w:kern w:val="0"/>
          <w:sz w:val="24"/>
          <w:szCs w:val="24"/>
        </w:rPr>
        <w:t>食品安全监管专业化</w:t>
      </w:r>
      <w:r>
        <w:rPr>
          <w:rFonts w:hint="eastAsia" w:eastAsia="仿宋_GB2312"/>
          <w:snapToGrid w:val="0"/>
          <w:kern w:val="0"/>
          <w:sz w:val="24"/>
          <w:szCs w:val="24"/>
          <w:lang w:val="en" w:eastAsia="zh-CN"/>
        </w:rPr>
        <w:t>“</w:t>
      </w:r>
      <w:r>
        <w:rPr>
          <w:rFonts w:hint="eastAsia" w:eastAsia="仿宋_GB2312" w:cs="仿宋_GB2312"/>
          <w:snapToGrid w:val="0"/>
          <w:kern w:val="0"/>
          <w:sz w:val="24"/>
          <w:szCs w:val="24"/>
        </w:rPr>
        <w:t>专业</w:t>
      </w:r>
      <w:r>
        <w:rPr>
          <w:rFonts w:hint="eastAsia" w:eastAsia="仿宋_GB2312"/>
          <w:snapToGrid w:val="0"/>
          <w:kern w:val="0"/>
          <w:sz w:val="24"/>
          <w:szCs w:val="24"/>
          <w:lang w:eastAsia="zh-CN"/>
        </w:rPr>
        <w:t>”</w:t>
      </w:r>
      <w:r>
        <w:rPr>
          <w:rFonts w:hint="eastAsia" w:eastAsia="仿宋_GB2312" w:cs="仿宋_GB2312"/>
          <w:snapToGrid w:val="0"/>
          <w:kern w:val="0"/>
          <w:sz w:val="24"/>
          <w:szCs w:val="24"/>
        </w:rPr>
        <w:t>统计口径：食品科学与工程、农产品贮藏与加工、食品工艺、烹饪与营养、食品质量与安全、食品营养和检验（检测）、乳品工程、粮食工程、酿酒工程、葡萄与葡萄酒工程、食品加工技术、食品贮运与营销、粮食、油脂及植物蛋白工程、水产品加工及贮藏工程、化学类、材料类、园林类、畜牧类、预防医学、劳动卫生、环境卫生、卫生检验、法律、药学类、生物工程类等，或从事食品安全监管工作</w:t>
      </w:r>
      <w:r>
        <w:rPr>
          <w:rFonts w:eastAsia="仿宋_GB2312"/>
          <w:snapToGrid w:val="0"/>
          <w:kern w:val="0"/>
          <w:sz w:val="24"/>
          <w:szCs w:val="24"/>
        </w:rPr>
        <w:t>5</w:t>
      </w:r>
      <w:r>
        <w:rPr>
          <w:rFonts w:hint="eastAsia" w:eastAsia="仿宋_GB2312" w:cs="仿宋_GB2312"/>
          <w:snapToGrid w:val="0"/>
          <w:kern w:val="0"/>
          <w:sz w:val="24"/>
          <w:szCs w:val="24"/>
        </w:rPr>
        <w:t>年以上。</w:t>
      </w:r>
      <w:r>
        <w:rPr>
          <w:snapToGrid w:val="0"/>
          <w:kern w:val="0"/>
        </w:rPr>
        <mc:AlternateContent>
          <mc:Choice Requires="wps">
            <w:drawing>
              <wp:anchor distT="0" distB="0" distL="114300" distR="114300" simplePos="0" relativeHeight="251673600" behindDoc="0" locked="0" layoutInCell="1" allowOverlap="1">
                <wp:simplePos x="0" y="0"/>
                <wp:positionH relativeFrom="column">
                  <wp:posOffset>-677545</wp:posOffset>
                </wp:positionH>
                <wp:positionV relativeFrom="paragraph">
                  <wp:posOffset>1226820</wp:posOffset>
                </wp:positionV>
                <wp:extent cx="769620" cy="347345"/>
                <wp:effectExtent l="211455" t="0" r="0" b="0"/>
                <wp:wrapNone/>
                <wp:docPr id="19" name="文本框 22"/>
                <wp:cNvGraphicFramePr/>
                <a:graphic xmlns:a="http://schemas.openxmlformats.org/drawingml/2006/main">
                  <a:graphicData uri="http://schemas.microsoft.com/office/word/2010/wordprocessingShape">
                    <wps:wsp>
                      <wps:cNvSpPr txBox="1"/>
                      <wps:spPr>
                        <a:xfrm rot="5400000">
                          <a:off x="0" y="0"/>
                          <a:ext cx="769620" cy="347345"/>
                        </a:xfrm>
                        <a:prstGeom prst="rect">
                          <a:avLst/>
                        </a:prstGeom>
                        <a:noFill/>
                        <a:ln w="6350">
                          <a:noFill/>
                        </a:ln>
                      </wps:spPr>
                      <wps:txbx>
                        <w:txbxContent>
                          <w:p>
                            <w:pPr>
                              <w:rPr>
                                <w:sz w:val="28"/>
                                <w:szCs w:val="28"/>
                              </w:rPr>
                            </w:pPr>
                            <w:r>
                              <w:rPr>
                                <w:sz w:val="28"/>
                                <w:szCs w:val="28"/>
                              </w:rPr>
                              <w:t>—2</w:t>
                            </w:r>
                            <w:r>
                              <w:rPr>
                                <w:rFonts w:hint="eastAsia"/>
                                <w:sz w:val="28"/>
                                <w:szCs w:val="28"/>
                                <w:lang w:val="en-US" w:eastAsia="zh-CN"/>
                              </w:rPr>
                              <w:t>7</w:t>
                            </w:r>
                            <w:r>
                              <w:rPr>
                                <w:sz w:val="28"/>
                                <w:szCs w:val="28"/>
                              </w:rPr>
                              <w:t>—</w:t>
                            </w:r>
                          </w:p>
                        </w:txbxContent>
                      </wps:txbx>
                      <wps:bodyPr vert="eaVert" upright="1"/>
                    </wps:wsp>
                  </a:graphicData>
                </a:graphic>
              </wp:anchor>
            </w:drawing>
          </mc:Choice>
          <mc:Fallback>
            <w:pict>
              <v:shape id="文本框 22" o:spid="_x0000_s1026" o:spt="202" type="#_x0000_t202" style="position:absolute;left:0pt;margin-left:-53.35pt;margin-top:96.6pt;height:27.35pt;width:60.6pt;rotation:5898240f;z-index:251673600;mso-width-relative:page;mso-height-relative:page;" filled="f" stroked="f" coordsize="21600,21600" o:gfxdata="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tyJ+ja&#10;AAAACwEAAA8AAAAAAAAAAQAgAAAAIgAAAGRycy9kb3ducmV2LnhtbFBLAQIUABQAAAAIAIdO4kBT&#10;fcEGrAEAACYDAAAOAAAAAAAAAAEAIAAAACkBAABkcnMvZTJvRG9jLnhtbFBLBQYAAAAABgAGAFkB&#10;AABHBQAAAAA=&#10;">
                <v:fill on="f" focussize="0,0"/>
                <v:stroke on="f" weight="0.5pt"/>
                <v:imagedata o:title=""/>
                <o:lock v:ext="edit" aspectratio="f"/>
                <v:textbox style="layout-flow:vertical-ideographic;">
                  <w:txbxContent>
                    <w:p>
                      <w:pPr>
                        <w:rPr>
                          <w:sz w:val="28"/>
                          <w:szCs w:val="28"/>
                        </w:rPr>
                      </w:pPr>
                      <w:r>
                        <w:rPr>
                          <w:sz w:val="28"/>
                          <w:szCs w:val="28"/>
                        </w:rPr>
                        <w:t>—2</w:t>
                      </w:r>
                      <w:r>
                        <w:rPr>
                          <w:rFonts w:hint="eastAsia"/>
                          <w:sz w:val="28"/>
                          <w:szCs w:val="28"/>
                          <w:lang w:val="en-US" w:eastAsia="zh-CN"/>
                        </w:rPr>
                        <w:t>7</w:t>
                      </w:r>
                      <w:r>
                        <w:rPr>
                          <w:sz w:val="28"/>
                          <w:szCs w:val="28"/>
                        </w:rPr>
                        <w:t>—</w:t>
                      </w:r>
                    </w:p>
                  </w:txbxContent>
                </v:textbox>
              </v:shape>
            </w:pict>
          </mc:Fallback>
        </mc:AlternateConten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falt">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黑体fal">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szCs w:val="28"/>
      </w:rPr>
    </w:pPr>
    <w:r>
      <w:rPr>
        <w:rStyle w:val="8"/>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sz w:val="28"/>
        <w:szCs w:val="28"/>
      </w:rPr>
      <w:t>—</w:t>
    </w:r>
  </w:p>
  <w:p>
    <w:pPr>
      <w:pStyle w:val="3"/>
      <w:wordWrap w:val="0"/>
      <w:ind w:right="360" w:firstLine="360"/>
      <w:jc w:val="right"/>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54DD3"/>
    <w:rsid w:val="20F54DD3"/>
    <w:rsid w:val="3CBA0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falfalt"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header"/>
    <w:basedOn w:val="1"/>
    <w:next w:val="3"/>
    <w:qFormat/>
    <w:uiPriority w:val="99"/>
    <w:pPr>
      <w:pBdr>
        <w:bottom w:val="single" w:color="auto" w:sz="6" w:space="1"/>
      </w:pBdr>
      <w:tabs>
        <w:tab w:val="center" w:pos="4153"/>
        <w:tab w:val="right" w:pos="8306"/>
      </w:tabs>
      <w:snapToGrid w:val="0"/>
      <w:jc w:val="center"/>
    </w:pPr>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w:basedOn w:val="1"/>
    <w:next w:val="5"/>
    <w:qFormat/>
    <w:uiPriority w:val="99"/>
    <w:rPr>
      <w:rFonts w:ascii="仿宋" w:hAnsi="仿宋" w:eastAsia="仿宋" w:cs="仿宋"/>
      <w:lang w:val="zh-CN"/>
    </w:rPr>
  </w:style>
  <w:style w:type="paragraph" w:styleId="5">
    <w:name w:val="toc 5"/>
    <w:basedOn w:val="1"/>
    <w:next w:val="1"/>
    <w:semiHidden/>
    <w:qFormat/>
    <w:uiPriority w:val="99"/>
    <w:pPr>
      <w:ind w:left="1680"/>
    </w:pPr>
  </w:style>
  <w:style w:type="character" w:styleId="8">
    <w:name w:val="page number"/>
    <w:basedOn w:val="7"/>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2022-08-30T02:39:00Z</dcterms:created>
  <dc:creator>Administrator</dc:creator>
  <cp:lastModifiedBy>Administrator</cp:lastModifiedBy>
  <dcterms:modified xsi:type="dcterms:W3CDTF">2022-08-30T02:40:33Z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