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小标宋_GBK" w:cs="Times New Roman"/>
          <w:color w:val="000000"/>
          <w:sz w:val="30"/>
          <w:szCs w:val="30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-532765</wp:posOffset>
                </wp:positionV>
                <wp:extent cx="886460" cy="505460"/>
                <wp:effectExtent l="4445" t="4445" r="23495" b="234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6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adjustRightInd/>
                              <w:snapToGrid/>
                              <w:spacing w:before="0" w:beforeLines="0" w:after="0" w:afterLines="0" w:line="560" w:lineRule="exact"/>
                              <w:ind w:left="-301" w:leftChars="-94" w:firstLine="0" w:firstLineChars="0"/>
                              <w:jc w:val="center"/>
                              <w:textAlignment w:val="auto"/>
                              <w:rPr>
                                <w:rFonts w:ascii="Times New Roman" w:hAnsi="Times New Roman" w:eastAsia="方正黑体_GBK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eastAsia="方正黑体_GBK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2.2pt;margin-top:-41.95pt;height:39.8pt;width:69.8pt;z-index:251660288;mso-width-relative:page;mso-height-relative:page;" fillcolor="#FFFFFF" filled="t" stroked="t" coordsize="21600,21600" o:gfxdata="UEsDBAoAAAAAAIdO4kAAAAAAAAAAAAAAAAAEAAAAZHJzL1BLAwQUAAAACACHTuJAGU+3xtcAAAAJ&#10;AQAADwAAAGRycy9kb3ducmV2LnhtbE2Py07DMBBF90j8gzVI7FqnbSglxKlECeqGRSmwn9pDEuFH&#10;FLsvvr7DCnbzOLpzplyenBUHGmIXvILJOANBXgfT+UbBx/vLaAEiJvQGbfCk4EwRltX1VYmFCUf/&#10;RodtagSH+FiggjalvpAy6pYcxnHoyfPuKwwOE7dDI82ARw53Vk6zbC4ddp4vtNjTqiX9vd07BRvE&#10;583PWuun+vya17T6rClYpW5vJtkjiESn9AfDrz6rQ8VOu7D3JgqrYDTPc0a5WMweQDBxfzcFseNB&#10;PgNZlfL/B9UFUEsDBBQAAAAIAIdO4kBMHSd74QEAANoDAAAOAAAAZHJzL2Uyb0RvYy54bWytU82O&#10;EzEMviPxDlHudNourcqo0z1QygXBSgsP4CaZmUj5U5ztTJ8GiRsPweMgXgMnLV2WvaxWzCFjx85n&#10;+7O9vh6tYQcVUXvX8NlkyplywkvtuoZ/+bx7teIMEzgJxjvV8KNCfr15+WI9hFrNfe+NVJERiMN6&#10;CA3vUwp1VaHolQWc+KAcGVsfLSRSY1fJCAOhW1PNp9NlNfgoQ/RCIdLt9mTkm4LftkqkT22LKjHT&#10;cMotlTOWc5/ParOGuosQei3OacAzsrCgHQW9QG0hAbuL+hGU1SJ69G2aCG8r37ZaqFIDVTOb/lPN&#10;bQ9BlVqIHAwXmvD/wYqPh5vItGz4FWcOLLXo19fvP398Y1eZmyFgTS634SaeNSQxFzq20eY/lcDG&#10;wufxwqcaExN0uVotXy+JdUGmxXSRZUKp7h+HiOm98pZloeGR2lVYhMMHTCfXPy45Fnqj5U4bU5TY&#10;7d+ayA5Ard2V74z+wM04NjT8zWK+oDyAJqw1kEi0gWpG15V4D17g04BzYlvA/pRAQcjxobY6qcwW&#10;1L0C+c5Jlo6BeHW0ADwnY5XkzCjalywVzwTaPMWTuDOOKMx9OXUiS2ncjwSTxb2XR2roXYi664nS&#10;WeEkW2iACvfnYc8T+rdeQO9XcvM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U+3xtcAAAAJAQAA&#10;DwAAAAAAAAABACAAAAAiAAAAZHJzL2Rvd25yZXYueG1sUEsBAhQAFAAAAAgAh07iQEwdJ3vhAQAA&#10;2gMAAA4AAAAAAAAAAQAgAAAAJgEAAGRycy9lMm9Eb2MueG1sUEsFBgAAAAAGAAYAWQEAAHkFAAAA&#10;AA==&#10;">
                <v:path/>
                <v:fill on="t" color2="#FFFFFF" focussize="0,0"/>
                <v:stroke color="#FFFFF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keepNext w:val="0"/>
                        <w:keepLines w:val="0"/>
                        <w:adjustRightInd/>
                        <w:snapToGrid/>
                        <w:spacing w:before="0" w:beforeLines="0" w:after="0" w:afterLines="0" w:line="560" w:lineRule="exact"/>
                        <w:ind w:left="-301" w:leftChars="-94" w:firstLine="0" w:firstLineChars="0"/>
                        <w:jc w:val="center"/>
                        <w:textAlignment w:val="auto"/>
                        <w:rPr>
                          <w:rFonts w:ascii="Times New Roman" w:hAnsi="Times New Roman" w:eastAsia="方正黑体_GBK"/>
                          <w:color w:val="000000"/>
                          <w:kern w:val="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eastAsia="方正黑体_GBK"/>
                          <w:color w:val="000000"/>
                          <w:kern w:val="2"/>
                          <w:sz w:val="32"/>
                          <w:szCs w:val="32"/>
                        </w:rPr>
                        <w:t>附件2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水城水库饮用水源地应急防控体系建设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ascii="Times New Roman" w:hAnsi="Times New Roman"/>
        </w:rPr>
      </w:pPr>
    </w:p>
    <w:tbl>
      <w:tblPr>
        <w:tblStyle w:val="10"/>
        <w:tblW w:w="10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494"/>
        <w:gridCol w:w="1285"/>
        <w:gridCol w:w="955"/>
        <w:gridCol w:w="2197"/>
        <w:gridCol w:w="2066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6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1"/>
                <w:szCs w:val="21"/>
              </w:rPr>
              <w:t>防控区域</w:t>
            </w:r>
          </w:p>
        </w:tc>
        <w:tc>
          <w:tcPr>
            <w:tcW w:w="9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sz w:val="21"/>
                <w:szCs w:val="21"/>
              </w:rPr>
              <w:t>现有防控工程</w:t>
            </w:r>
          </w:p>
        </w:tc>
        <w:tc>
          <w:tcPr>
            <w:tcW w:w="7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1"/>
                <w:szCs w:val="21"/>
              </w:rPr>
              <w:t>优化措施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6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监控/预警措施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防控工程优化措施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应急物资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风险源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固定源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向桂大山头、绿荫塘联合采石场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设置柴油等储存区视频监控，并与生态环境部门联网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设置规范化危险化学品储存库，地面防渗，设置围堰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根据预案完善应急物资储备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蜂蜜山采石场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设置柴油等储存区视频监控，并与生态环境部门联网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设置规范化危险化学品储存库，地面防渗，设置围堰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根据预案完善应急物资储备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叫龙山采石场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设置柴油等储存区视频监控，并与生态环境部门联网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设置规范化危险化学品储存库，地面防渗，设置围堰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根据预案完善应急物资储备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十字坡采石场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设置柴油等储存区视频监控，并与生态环境部门联网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设置规范化危险化学品储存库，地面防渗，设置围堰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根据预案完善应急物资储备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协联电厂历史遗留粉煤灰堆场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尽快对粉煤灰堆场进行生态修复治理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富源瑞泽公司阿加西村养殖场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增设事故池，并做好防渗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根据预案完善应急物资储备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流动源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墨朝公路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在2个跨越桥梁处设置视频监控并与环保部门联网，道路出入水源保护区边界设置警示牌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交通部门在2处跨越桥梁处建设双侧防护栏、截排水系统、事故池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根据预案完善应急物资储备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农业公司土路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在一级保护区内距水面最近处设置视频监控并与生态环境部门联网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共用墨朝公路配备的应急物资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曲泸高速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全线双侧防护墙、桥面径流收集系统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在分水闸房南侧设置视频监控并与环保部门联网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共用墨朝公路配备的应急物资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非点源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海寨村、新发村、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</w:rPr>
              <w:t>迆山村等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共18个村小组，9000多人及3000多公顷耕地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/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由水城水库管理局在落水洞前设置1道小型拦污坝，并设置可控闸门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农业面源污染：农业部门全面推进残膜、化肥、农药等污染综合治理，回收残膜，推广测土配方施肥金属，使用高效低毒、低残留农药。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生活面源污染：由住建部门进行农村环境综合整治，生活垃圾收集后统一清运至县城垃圾填埋场进行处理，建立生活污水收集处理设施，将污水处理后引排至保护区外。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连接水体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在蛇长海子、落水洞设预警监控断面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/</w:t>
            </w:r>
          </w:p>
        </w:tc>
        <w:tc>
          <w:tcPr>
            <w:tcW w:w="29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根据预案完善应急物资储备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取水口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现有一处水源地监测断面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1"/>
                <w:szCs w:val="21"/>
              </w:rPr>
              <w:t>取水口视频监控与生态环境部门联网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  <w:t>/</w:t>
            </w:r>
          </w:p>
        </w:tc>
        <w:tc>
          <w:tcPr>
            <w:tcW w:w="2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bCs/>
                <w:color w:val="000000"/>
                <w:sz w:val="21"/>
                <w:szCs w:val="21"/>
              </w:rPr>
            </w:pPr>
          </w:p>
        </w:tc>
      </w:tr>
    </w:tbl>
    <w:p/>
    <w:p>
      <w:pPr>
        <w:pStyle w:val="2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646295" cy="5859780"/>
            <wp:effectExtent l="0" t="0" r="1905" b="7620"/>
            <wp:docPr id="5" name="图片 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6295" cy="58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cs="Times New Roman"/>
          <w:bCs/>
          <w:color w:val="auto"/>
          <w:szCs w:val="24"/>
          <w:highlight w:val="none"/>
        </w:rPr>
      </w:pPr>
      <w:r>
        <w:rPr>
          <w:rFonts w:hint="eastAsia" w:ascii="Times New Roman" w:hAnsi="Times New Roman"/>
          <w:b/>
          <w:color w:val="000000"/>
          <w:szCs w:val="28"/>
        </w:rPr>
        <w:t>水城水库应急</w:t>
      </w:r>
      <w:r>
        <w:rPr>
          <w:rFonts w:ascii="Times New Roman" w:hAnsi="Times New Roman"/>
          <w:b/>
          <w:color w:val="000000"/>
          <w:szCs w:val="28"/>
        </w:rPr>
        <w:t>防控体系图</w:t>
      </w:r>
    </w:p>
    <w:p>
      <w:pPr>
        <w:pStyle w:val="4"/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rPr>
                              <w:rFonts w:hint="eastAsia" w:eastAsia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28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rPr>
                        <w:rFonts w:hint="eastAsia" w:eastAsia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28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B3381"/>
    <w:rsid w:val="162B3381"/>
    <w:rsid w:val="5BF30C80"/>
    <w:rsid w:val="64A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7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/>
    </w:pPr>
    <w:rPr>
      <w:rFonts w:ascii="Times New Roman" w:hAnsi="Times New Roman" w:eastAsia="宋体" w:cs="Times New Roman"/>
      <w:sz w:val="24"/>
      <w:szCs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unhideWhenUsed/>
    <w:qFormat/>
    <w:uiPriority w:val="99"/>
    <w:pPr>
      <w:ind w:firstLine="420" w:firstLineChars="100"/>
    </w:pPr>
  </w:style>
  <w:style w:type="paragraph" w:styleId="5">
    <w:name w:val="Body Text"/>
    <w:basedOn w:val="1"/>
    <w:unhideWhenUsed/>
    <w:qFormat/>
    <w:uiPriority w:val="99"/>
    <w:pPr>
      <w:spacing w:after="120"/>
    </w:p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2022-08-29T09:23:00Z</dcterms:created>
  <dc:creator>Administrator</dc:creator>
  <cp:lastModifiedBy>Administrator</cp:lastModifiedBy>
  <dcterms:modified xsi:type="dcterms:W3CDTF">2022-08-29T09:30:20Z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