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2"/>
          <w:sz w:val="44"/>
          <w:szCs w:val="44"/>
        </w:rPr>
        <w:t>部分不合格检验项目小知识</w:t>
      </w:r>
    </w:p>
    <w:p>
      <w:pPr>
        <w:numPr>
          <w:ilvl w:val="0"/>
          <w:numId w:val="0"/>
        </w:numPr>
        <w:jc w:val="left"/>
        <w:rPr>
          <w:rFonts w:hint="default" w:ascii="方正黑体_GBK" w:hAnsi="方正黑体_GBK" w:eastAsia="方正黑体_GBK" w:cs="方正黑体_GBK"/>
          <w:spacing w:val="-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5" w:firstLineChars="200"/>
        <w:jc w:val="left"/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pacing w:val="-12"/>
          <w:sz w:val="32"/>
          <w:szCs w:val="32"/>
          <w:lang w:val="en-US" w:eastAsia="zh-CN"/>
        </w:rPr>
        <w:t>毒死蜱</w:t>
      </w:r>
      <w:bookmarkEnd w:id="0"/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又名氯吡硫磷，是一种硫代磷酸酯类有机磷杀虫、杀螨剂，具有良好的触杀、胃毒和熏蒸作用。毒死蜱对蜜蜂、鱼类等水生生物、家蚕有毒。大鼠急性经口毒性试验 LD50 为 82mg/kg，急性毒性分级标准为中等毒，中毒机制为抑制乙酰胆碱酯酶活性，症状包括头痛、头昏、恶心、呕吐、出汗、流涎、肌肉震颤，甚至抽搐、痉挛，昏迷。相关研究未见遗传毒性和致癌性。少量的农药残留不会引起人体急性中毒，但长期食用毒死蜱超标的食品，对人体健康可能有一定影响。普通白菜中毒死蜱超标，原因可能是为快速控制虫害加大用药量，或者未遵守采摘间隔期规定，致使上市销售时产品中的药物残留量未降解至标准限量以下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91FB9"/>
    <w:rsid w:val="17EB2463"/>
    <w:rsid w:val="78D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2022-07-02T01:02:00Z</dcterms:created>
  <dc:creator>lenovo</dc:creator>
  <cp:lastModifiedBy>王聪</cp:lastModifiedBy>
  <dcterms:modified xsi:type="dcterms:W3CDTF">2022-07-11T05:32:29Z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