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numPr>
          <w:ilvl w:val="0"/>
          <w:numId w:val="0"/>
        </w:numPr>
        <w:ind w:firstLine="592" w:firstLineChars="200"/>
        <w:jc w:val="left"/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592" w:firstLineChars="200"/>
        <w:jc w:val="left"/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eastAsia="zh-CN"/>
        </w:rPr>
        <w:t>一、阿维菌素。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eastAsia="zh-CN"/>
        </w:rPr>
        <w:t>是由放线菌产生的一组大环内酯类抗生素，为淡黄色至白色结晶粉末，无味，是一种杀虫、杀螨剂，广泛用于蔬菜、果树、棉花等农作物上，也可作为兽药使用。阿维菌素大鼠急性经口 LD50 为 1.5mg/kg，急性毒性分级属高毒级，早期中毒症状为瞳孔放大，行动失调，肌肉颤抖，严重者可呕吐。口服量大时出现中枢神经系统症状和消化道刺激症状，严重者出现抽搐、昏</w:t>
      </w: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eastAsia="zh-CN"/>
        </w:rPr>
        <w:t>迷。相关研究未见遗传毒性和致癌性。少量的农药残留不会引起人体急性中毒，但长期食用阿维菌素超标的食品，对人体健康有一定影响。</w:t>
      </w: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  <w:t>油麦菜中</w:t>
      </w: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eastAsia="zh-CN"/>
        </w:rPr>
        <w:t>阿维菌素</w:t>
      </w: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  <w:t>超标，原因可能是为快速控制虫害加大用药量，或者未遵守采摘间隔期规定，致使上市销售时产品中的药物残留量未降解至标准限量以下。</w:t>
      </w:r>
    </w:p>
    <w:p>
      <w:pPr>
        <w:numPr>
          <w:ilvl w:val="0"/>
          <w:numId w:val="0"/>
        </w:numPr>
        <w:ind w:firstLine="592" w:firstLineChars="200"/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  <w:t>二、毒死蜱。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又名氯吡硫磷，是一种硫代磷酸酯类有机磷杀虫、杀螨剂，具有良好的触杀、胃毒和熏蒸作用。毒死蜱对蜜蜂、鱼类等水生生物、家蚕有毒。大鼠急性经口毒性试验 LD50 为 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普通白菜中毒死蜱超标，原因可能是为快速控制虫害加大用药量，或者未遵守采摘间隔期规定，致使上市销售时产品中的药物残留量未降解至标准限量以下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三、吡唑醚菌酯。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吡唑醚菌酯是具有保护、治疗和传导作用的杀菌剂。会引起像推迟衰老、叶片变绿、对生物和非生物胁迫耐受性更好等生理效应，能更有效地利用水和氮。用于防治主要的植物病害，如谷物的小麦壳针孢、柄锈菌、小麦德斯霉菌、肝圆核腔菌、黑麦喙孢菌和麦颖枯病，花生的球腔菌，大豆的线虫病、思茅松毛虫病和大豆锈菌，葡萄的霜霉病和白粉菌，马铃薯和番茄的疫霉病和早疫病，黄瓜的霜霉病和白粉病，香蕉的黑条叶斑病菌，柑橘的痂囊腔菌和球座菌，草坪的纹枯病和腐霉菌。大鼠急性经口 LD50＞5000mg/kg，急性毒性分级为微毒级。对皮肤、眼睛和呼吸道等有刺激作用，无人体全身性中毒报道。食用食品一般不会导致吡唑醚菌酯的急性中毒，但长期食用吡唑醚菌酯超标的食品，对人体健康也有一定影响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芒果中吡唑醚菌酯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超标，原因可能是为快速控制虫害加大用药量，或者未遵守采摘间隔期规定，致使上市销售时产品中的药物残留量未降解至标准限量以下。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四、联苯菊酯。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联苯菊酯有触杀和胃毒作用。对多种叶面害虫有效，包括鞘翅目、双翅目、异翅亚目、同翅目、鳞翅目和直翅目害虫；对某些种类的螨虫也有效。适用作物包括谷物、柑橘、棉花、果树、葡萄、观赏植物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和蔬菜。大鼠急性经口 LD50 为 53.4mg/kg，急性毒性分级为中等毒。属于拟除虫菊酯类性农药。急性中毒症状为头痛、头晕、恶心、呕吐、胸闷、乏力、双手颤抖、心律不齐等，严重者深度昏迷或休克。食用食品一般不会导致联苯菊酯的急性中毒，但长期食用联苯菊酯超标的食品，对人体健康也有一定影响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橘子中联苯菊酯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超标，原因可能是为快速控制虫害加大用药量，或者未遵守采摘间隔期规定，致使上市销售时产品中的药物残留量未降解至标准限量以下。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D5B68"/>
    <w:rsid w:val="2F6D5B68"/>
    <w:rsid w:val="695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2022-07-01T08:42:00Z</dcterms:created>
  <dc:creator>王聪</dc:creator>
  <cp:lastModifiedBy>lenovo</cp:lastModifiedBy>
  <dcterms:modified xsi:type="dcterms:W3CDTF">2022-07-02T01:04:47Z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