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N w:val="0"/>
        <w:adjustRightInd w:val="0"/>
        <w:snapToGrid w:val="0"/>
        <w:jc w:val="center"/>
        <w:rPr>
          <w:rFonts w:hint="eastAsia" w:ascii="方正小标宋_GBK" w:eastAsia="方正小标宋_GBK"/>
          <w:kern w:val="0"/>
          <w:sz w:val="44"/>
          <w:szCs w:val="44"/>
        </w:rPr>
      </w:pPr>
      <w:r>
        <w:rPr>
          <w:rFonts w:hint="eastAsia" w:ascii="方正小标宋_GBK" w:eastAsia="方正小标宋_GBK"/>
          <w:kern w:val="0"/>
          <w:sz w:val="44"/>
          <w:szCs w:val="44"/>
        </w:rPr>
        <w:t>前    言</w:t>
      </w:r>
    </w:p>
    <w:p>
      <w:pPr>
        <w:shd w:val="solid" w:color="FFFFFF" w:fill="auto"/>
        <w:autoSpaceDN w:val="0"/>
        <w:adjustRightInd w:val="0"/>
        <w:snapToGrid w:val="0"/>
        <w:ind w:firstLine="640" w:firstLineChars="200"/>
        <w:rPr>
          <w:szCs w:val="32"/>
          <w:shd w:val="clear" w:color="auto" w:fill="FFFFFF"/>
        </w:rPr>
      </w:pPr>
    </w:p>
    <w:p>
      <w:pPr>
        <w:shd w:val="solid" w:color="FFFFFF" w:fill="auto"/>
        <w:autoSpaceDN w:val="0"/>
        <w:adjustRightInd w:val="0"/>
        <w:snapToGrid w:val="0"/>
        <w:ind w:firstLine="640" w:firstLineChars="200"/>
        <w:rPr>
          <w:szCs w:val="32"/>
          <w:shd w:val="clear" w:color="auto" w:fill="FFFFFF"/>
        </w:rPr>
      </w:pPr>
      <w:r>
        <w:rPr>
          <w:szCs w:val="32"/>
        </w:rPr>
        <w:t>安全生产是贯彻落实科学发展观的必然要求，是实现经济平稳运行的重要保障，是构建和谐社会的重要组成部分，是社会文明进步的显著标志。</w:t>
      </w:r>
      <w:r>
        <w:rPr>
          <w:szCs w:val="32"/>
          <w:shd w:val="clear" w:color="auto" w:fill="FFFFFF"/>
        </w:rPr>
        <w:t>市委、市政府高度重视安全生产工作，始终把安全生产工作贯穿于整个经济建设和社会稳定之中，全面部署、全面关注，全力抓好落实，通过“十二五”时期安全生产规划的实施，全市生产安全伤亡事故逐年下降，重特大事故逐步减少，安全生产总体水平不断提高，安全生产状况持续改善。</w:t>
      </w:r>
    </w:p>
    <w:p>
      <w:pPr>
        <w:shd w:val="solid" w:color="FFFFFF" w:fill="auto"/>
        <w:autoSpaceDN w:val="0"/>
        <w:adjustRightInd w:val="0"/>
        <w:snapToGrid w:val="0"/>
        <w:ind w:firstLine="640" w:firstLineChars="200"/>
        <w:rPr>
          <w:szCs w:val="32"/>
          <w:shd w:val="clear" w:color="auto" w:fill="FFFFFF"/>
        </w:rPr>
      </w:pPr>
      <w:r>
        <w:rPr>
          <w:szCs w:val="32"/>
        </w:rPr>
        <w:t>“十三五”时期是我市主动融入国家、省加快发展战略的机遇期，是加快转变经济发展方式、实现科学发展跨越发展的关键期，是确保我市与全国全省同步全面建成小康社会的决战期，也是实现全市安全生产形势根本好转的推进期。</w:t>
      </w:r>
      <w:r>
        <w:rPr>
          <w:szCs w:val="32"/>
          <w:shd w:val="clear" w:color="auto" w:fill="FFFFFF"/>
        </w:rPr>
        <w:t>党的十八大以来，习近平总书记、李克强总理等党中央领导同志提出了将安全生产纳入经济社会发展战略布局，坚持安全发展、强化红线意识等一系列重要指示；党的十八届三中、四中、五中全会作出了</w:t>
      </w:r>
      <w:r>
        <w:rPr>
          <w:szCs w:val="32"/>
        </w:rPr>
        <w:t>牢固树立安全发展观念，坚持人民利益至上，</w:t>
      </w:r>
      <w:r>
        <w:rPr>
          <w:szCs w:val="32"/>
          <w:shd w:val="clear" w:color="auto" w:fill="FFFFFF"/>
        </w:rPr>
        <w:t>深化安全生产管理体制改革，建立隐患排查治理体系和安全预防控制体系，</w:t>
      </w:r>
      <w:r>
        <w:rPr>
          <w:szCs w:val="32"/>
        </w:rPr>
        <w:t>健全公共安全体系，完善和落实安全生产责任和管理制度，实行党政同责、一岗双责、失职追责，强化预防治本，</w:t>
      </w:r>
      <w:r>
        <w:rPr>
          <w:szCs w:val="32"/>
          <w:shd w:val="clear" w:color="auto" w:fill="FFFFFF"/>
        </w:rPr>
        <w:t>全面加强基层执法力量建设，</w:t>
      </w:r>
      <w:r>
        <w:rPr>
          <w:szCs w:val="32"/>
        </w:rPr>
        <w:t>健全预警应急机制，加大监管执法力度，及时排查治理安全隐患，</w:t>
      </w:r>
      <w:r>
        <w:rPr>
          <w:szCs w:val="32"/>
          <w:shd w:val="clear" w:color="auto" w:fill="FFFFFF"/>
        </w:rPr>
        <w:t>遏制重特大生产安全事故的重大部署。新修订的《安全生产法》明确规定“国务院和县级以上地方各级人民政府应当根据国民经济和社会发展规划制定安全生产规划，并组织实施”。</w:t>
      </w:r>
      <w:r>
        <w:rPr>
          <w:szCs w:val="32"/>
        </w:rPr>
        <w:t xml:space="preserve">“十三五”时期，随着我市经济结构战略性调整和经济发展方式的加快转变，安全生产工作也将面临着新的形势、新的问题和新的任务。科学编制和有效实施“十三五”安全生产专项规划，对强化红线意识和底线思维，实施安全发展战略，促进全市安全生产状况根本好转，构建和谐稳定社会，服务我市科学发展跨越发展，具有十分重要的意义。 </w:t>
      </w:r>
    </w:p>
    <w:p>
      <w:pPr>
        <w:shd w:val="solid" w:color="FFFFFF" w:fill="auto"/>
        <w:autoSpaceDN w:val="0"/>
        <w:adjustRightInd w:val="0"/>
        <w:snapToGrid w:val="0"/>
        <w:ind w:firstLine="640" w:firstLineChars="200"/>
        <w:rPr>
          <w:spacing w:val="-6"/>
          <w:szCs w:val="32"/>
          <w:shd w:val="clear" w:color="auto" w:fill="FFFFFF"/>
        </w:rPr>
      </w:pPr>
      <w:r>
        <w:rPr>
          <w:szCs w:val="32"/>
          <w:shd w:val="clear" w:color="auto" w:fill="FFFFFF"/>
        </w:rPr>
        <w:t>为充分发挥规划的引导与约束作用，建立健全统一、协调、有效的安全生产运行机制，确保到2020年安全生产状况</w:t>
      </w:r>
      <w:r>
        <w:rPr>
          <w:spacing w:val="-6"/>
          <w:szCs w:val="32"/>
          <w:shd w:val="clear" w:color="auto" w:fill="FFFFFF"/>
        </w:rPr>
        <w:t>实现根本性好转，特编制《曲靖市安全生产“十三五”发展规划》。</w:t>
      </w:r>
    </w:p>
    <w:p>
      <w:pPr>
        <w:adjustRightInd w:val="0"/>
        <w:snapToGrid w:val="0"/>
        <w:ind w:firstLine="640" w:firstLineChars="200"/>
        <w:jc w:val="left"/>
        <w:rPr>
          <w:color w:val="000000"/>
          <w:kern w:val="0"/>
          <w:szCs w:val="32"/>
        </w:rPr>
      </w:pPr>
      <w:r>
        <w:rPr>
          <w:color w:val="000000"/>
          <w:kern w:val="0"/>
          <w:szCs w:val="32"/>
        </w:rPr>
        <w:t>《曲靖市安全生产“十三五”发展规划》是指导曲靖市未来五年安全生产工作的纲领性文件，是曲靖市国民经济和社会发展第十三个五年规划体系中的重要专项规划之一。配合《曲靖市国民经济和社会发展第十三个五年规划纲要》的实施，实现经济发展</w:t>
      </w:r>
      <w:r>
        <w:rPr>
          <w:color w:val="000000"/>
          <w:spacing w:val="-8"/>
          <w:kern w:val="0"/>
          <w:szCs w:val="32"/>
        </w:rPr>
        <w:t>和社会进步与安全生产同步规划、同步部署、同步推进、同步实施。</w:t>
      </w:r>
    </w:p>
    <w:p>
      <w:pPr>
        <w:adjustRightInd w:val="0"/>
        <w:snapToGrid w:val="0"/>
        <w:rPr>
          <w:rFonts w:hint="eastAsia"/>
          <w:bCs/>
          <w:kern w:val="0"/>
          <w:szCs w:val="32"/>
        </w:rPr>
      </w:pPr>
    </w:p>
    <w:p>
      <w:pPr>
        <w:adjustRightInd w:val="0"/>
        <w:snapToGrid w:val="0"/>
        <w:rPr>
          <w:rFonts w:hint="eastAsia"/>
          <w:bCs/>
          <w:kern w:val="0"/>
          <w:szCs w:val="32"/>
        </w:rPr>
      </w:pPr>
    </w:p>
    <w:p>
      <w:pPr>
        <w:adjustRightInd w:val="0"/>
        <w:snapToGrid w:val="0"/>
        <w:rPr>
          <w:rFonts w:hint="eastAsia"/>
          <w:bCs/>
          <w:kern w:val="0"/>
          <w:szCs w:val="32"/>
        </w:rPr>
      </w:pPr>
    </w:p>
    <w:p>
      <w:pPr>
        <w:adjustRightInd w:val="0"/>
        <w:snapToGrid w:val="0"/>
        <w:rPr>
          <w:rFonts w:hint="eastAsia"/>
          <w:bCs/>
          <w:kern w:val="0"/>
          <w:szCs w:val="32"/>
        </w:rPr>
      </w:pPr>
    </w:p>
    <w:p>
      <w:pPr>
        <w:adjustRightInd w:val="0"/>
        <w:snapToGrid w:val="0"/>
        <w:jc w:val="center"/>
        <w:rPr>
          <w:rFonts w:hint="eastAsia" w:ascii="方正小标宋_GBK" w:eastAsia="方正小标宋_GBK"/>
          <w:bCs/>
          <w:kern w:val="0"/>
          <w:sz w:val="44"/>
          <w:szCs w:val="44"/>
        </w:rPr>
      </w:pPr>
      <w:r>
        <w:rPr>
          <w:rFonts w:hint="eastAsia" w:ascii="方正小标宋_GBK" w:eastAsia="方正小标宋_GBK"/>
          <w:bCs/>
          <w:kern w:val="0"/>
          <w:sz w:val="44"/>
          <w:szCs w:val="44"/>
        </w:rPr>
        <w:t>目    录</w:t>
      </w:r>
    </w:p>
    <w:p>
      <w:pPr>
        <w:adjustRightInd w:val="0"/>
        <w:snapToGrid w:val="0"/>
        <w:jc w:val="left"/>
        <w:rPr>
          <w:rFonts w:hint="eastAsia"/>
          <w:bCs/>
          <w:kern w:val="0"/>
          <w:szCs w:val="32"/>
        </w:rPr>
      </w:pPr>
    </w:p>
    <w:p>
      <w:pPr>
        <w:adjustRightInd w:val="0"/>
        <w:snapToGrid w:val="0"/>
        <w:jc w:val="left"/>
        <w:rPr>
          <w:b/>
          <w:kern w:val="0"/>
          <w:szCs w:val="32"/>
        </w:rPr>
      </w:pPr>
      <w:r>
        <w:rPr>
          <w:b/>
          <w:bCs/>
          <w:kern w:val="0"/>
          <w:szCs w:val="32"/>
        </w:rPr>
        <w:t>一、安全生产现状与形势……………</w:t>
      </w:r>
      <w:r>
        <w:rPr>
          <w:rFonts w:ascii="方正仿宋_GBK"/>
          <w:b/>
          <w:bCs/>
          <w:kern w:val="0"/>
          <w:szCs w:val="32"/>
        </w:rPr>
        <w:t>……</w:t>
      </w:r>
      <w:r>
        <w:rPr>
          <w:b/>
          <w:bCs/>
          <w:kern w:val="0"/>
          <w:szCs w:val="32"/>
        </w:rPr>
        <w:t>…</w:t>
      </w:r>
      <w:r>
        <w:rPr>
          <w:rFonts w:ascii="方正仿宋_GBK"/>
          <w:b/>
          <w:bCs/>
          <w:kern w:val="0"/>
          <w:szCs w:val="32"/>
        </w:rPr>
        <w:t>……</w:t>
      </w:r>
      <w:r>
        <w:rPr>
          <w:b/>
          <w:bCs/>
          <w:kern w:val="0"/>
          <w:szCs w:val="32"/>
        </w:rPr>
        <w:t>………………6</w:t>
      </w:r>
    </w:p>
    <w:p>
      <w:pPr>
        <w:adjustRightInd w:val="0"/>
        <w:snapToGrid w:val="0"/>
        <w:rPr>
          <w:bCs/>
          <w:kern w:val="0"/>
          <w:szCs w:val="32"/>
        </w:rPr>
      </w:pPr>
      <w:r>
        <w:rPr>
          <w:rFonts w:hint="eastAsia"/>
          <w:kern w:val="0"/>
          <w:szCs w:val="32"/>
        </w:rPr>
        <w:t>（一）</w:t>
      </w:r>
      <w:r>
        <w:rPr>
          <w:kern w:val="0"/>
          <w:szCs w:val="32"/>
        </w:rPr>
        <w:t>“十二五”安全生产工作情况……</w:t>
      </w:r>
      <w:r>
        <w:rPr>
          <w:bCs/>
          <w:kern w:val="0"/>
          <w:szCs w:val="32"/>
        </w:rPr>
        <w:t>…………</w:t>
      </w:r>
      <w:r>
        <w:rPr>
          <w:rFonts w:ascii="方正仿宋_GBK"/>
          <w:bCs/>
          <w:kern w:val="0"/>
          <w:szCs w:val="32"/>
        </w:rPr>
        <w:t>…………</w:t>
      </w:r>
      <w:r>
        <w:rPr>
          <w:bCs/>
          <w:kern w:val="0"/>
          <w:szCs w:val="32"/>
        </w:rPr>
        <w:t>……6</w:t>
      </w:r>
    </w:p>
    <w:p>
      <w:pPr>
        <w:adjustRightInd w:val="0"/>
        <w:snapToGrid w:val="0"/>
        <w:jc w:val="left"/>
        <w:rPr>
          <w:kern w:val="0"/>
          <w:szCs w:val="32"/>
        </w:rPr>
      </w:pPr>
      <w:r>
        <w:rPr>
          <w:rFonts w:hint="eastAsia"/>
          <w:kern w:val="0"/>
          <w:szCs w:val="32"/>
        </w:rPr>
        <w:t>（二）</w:t>
      </w:r>
      <w:r>
        <w:rPr>
          <w:kern w:val="0"/>
          <w:szCs w:val="32"/>
        </w:rPr>
        <w:t>“十三五”期间面临的机遇和挑战</w:t>
      </w:r>
      <w:r>
        <w:rPr>
          <w:bCs/>
          <w:szCs w:val="32"/>
        </w:rPr>
        <w:t>……………</w:t>
      </w:r>
      <w:r>
        <w:rPr>
          <w:rFonts w:ascii="方正仿宋_GBK"/>
          <w:bCs/>
          <w:kern w:val="0"/>
          <w:szCs w:val="32"/>
        </w:rPr>
        <w:t>…………</w:t>
      </w:r>
      <w:r>
        <w:rPr>
          <w:bCs/>
          <w:szCs w:val="32"/>
        </w:rPr>
        <w:t>…12</w:t>
      </w:r>
    </w:p>
    <w:p>
      <w:pPr>
        <w:adjustRightInd w:val="0"/>
        <w:snapToGrid w:val="0"/>
        <w:rPr>
          <w:b/>
          <w:bCs/>
          <w:kern w:val="0"/>
          <w:szCs w:val="32"/>
        </w:rPr>
      </w:pPr>
      <w:r>
        <w:rPr>
          <w:b/>
          <w:bCs/>
          <w:kern w:val="0"/>
          <w:szCs w:val="32"/>
        </w:rPr>
        <w:t>二、指导思想、主要目标 …………………</w:t>
      </w:r>
      <w:r>
        <w:rPr>
          <w:rFonts w:ascii="方正仿宋_GBK"/>
          <w:b/>
          <w:bCs/>
          <w:kern w:val="0"/>
          <w:szCs w:val="32"/>
        </w:rPr>
        <w:t>……</w:t>
      </w:r>
      <w:r>
        <w:rPr>
          <w:b/>
          <w:bCs/>
          <w:kern w:val="0"/>
          <w:szCs w:val="32"/>
        </w:rPr>
        <w:t>…</w:t>
      </w:r>
      <w:r>
        <w:rPr>
          <w:rFonts w:ascii="方正仿宋_GBK"/>
          <w:b/>
          <w:bCs/>
          <w:kern w:val="0"/>
          <w:szCs w:val="32"/>
        </w:rPr>
        <w:t>……</w:t>
      </w:r>
      <w:r>
        <w:rPr>
          <w:b/>
          <w:bCs/>
          <w:kern w:val="0"/>
          <w:szCs w:val="32"/>
        </w:rPr>
        <w:t>………16</w:t>
      </w:r>
    </w:p>
    <w:p>
      <w:pPr>
        <w:adjustRightInd w:val="0"/>
        <w:snapToGrid w:val="0"/>
        <w:rPr>
          <w:bCs/>
          <w:kern w:val="0"/>
          <w:szCs w:val="32"/>
        </w:rPr>
      </w:pPr>
      <w:r>
        <w:rPr>
          <w:rFonts w:hint="eastAsia"/>
          <w:kern w:val="0"/>
          <w:szCs w:val="32"/>
        </w:rPr>
        <w:t>（一）</w:t>
      </w:r>
      <w:r>
        <w:rPr>
          <w:bCs/>
          <w:kern w:val="0"/>
          <w:szCs w:val="32"/>
        </w:rPr>
        <w:t>指导思想………………………………………</w:t>
      </w:r>
      <w:r>
        <w:rPr>
          <w:rFonts w:ascii="方正仿宋_GBK"/>
          <w:bCs/>
          <w:kern w:val="0"/>
          <w:szCs w:val="32"/>
        </w:rPr>
        <w:t>………</w:t>
      </w:r>
      <w:r>
        <w:rPr>
          <w:bCs/>
          <w:kern w:val="0"/>
          <w:szCs w:val="32"/>
        </w:rPr>
        <w:t>……16</w:t>
      </w:r>
    </w:p>
    <w:p>
      <w:pPr>
        <w:adjustRightInd w:val="0"/>
        <w:snapToGrid w:val="0"/>
        <w:rPr>
          <w:bCs/>
          <w:kern w:val="0"/>
          <w:szCs w:val="32"/>
        </w:rPr>
      </w:pPr>
      <w:r>
        <w:rPr>
          <w:rFonts w:hint="eastAsia"/>
          <w:kern w:val="0"/>
          <w:szCs w:val="32"/>
        </w:rPr>
        <w:t>（二）</w:t>
      </w:r>
      <w:r>
        <w:rPr>
          <w:kern w:val="0"/>
          <w:szCs w:val="32"/>
        </w:rPr>
        <w:t>基本原则</w:t>
      </w:r>
      <w:r>
        <w:rPr>
          <w:bCs/>
          <w:kern w:val="0"/>
          <w:szCs w:val="32"/>
        </w:rPr>
        <w:t>… ………………………………</w:t>
      </w:r>
      <w:r>
        <w:rPr>
          <w:rFonts w:ascii="方正仿宋_GBK"/>
          <w:bCs/>
          <w:kern w:val="0"/>
          <w:szCs w:val="32"/>
        </w:rPr>
        <w:t>………</w:t>
      </w:r>
      <w:r>
        <w:rPr>
          <w:bCs/>
          <w:kern w:val="0"/>
          <w:szCs w:val="32"/>
        </w:rPr>
        <w:t>……… 17</w:t>
      </w:r>
    </w:p>
    <w:p>
      <w:pPr>
        <w:adjustRightInd w:val="0"/>
        <w:snapToGrid w:val="0"/>
        <w:rPr>
          <w:bCs/>
          <w:kern w:val="0"/>
          <w:szCs w:val="32"/>
        </w:rPr>
      </w:pPr>
      <w:r>
        <w:rPr>
          <w:rFonts w:hint="eastAsia"/>
          <w:kern w:val="0"/>
          <w:szCs w:val="32"/>
        </w:rPr>
        <w:t>（三）</w:t>
      </w:r>
      <w:r>
        <w:rPr>
          <w:kern w:val="0"/>
          <w:szCs w:val="32"/>
        </w:rPr>
        <w:t>规划目标</w:t>
      </w:r>
      <w:r>
        <w:rPr>
          <w:bCs/>
          <w:kern w:val="0"/>
          <w:szCs w:val="32"/>
        </w:rPr>
        <w:t>………………………………</w:t>
      </w:r>
      <w:r>
        <w:rPr>
          <w:rFonts w:ascii="方正仿宋_GBK"/>
          <w:bCs/>
          <w:kern w:val="0"/>
          <w:szCs w:val="32"/>
        </w:rPr>
        <w:t>……</w:t>
      </w:r>
      <w:r>
        <w:rPr>
          <w:bCs/>
          <w:kern w:val="0"/>
          <w:szCs w:val="32"/>
        </w:rPr>
        <w:t>……</w:t>
      </w:r>
      <w:r>
        <w:rPr>
          <w:rFonts w:ascii="方正仿宋_GBK"/>
          <w:bCs/>
          <w:kern w:val="0"/>
          <w:szCs w:val="32"/>
        </w:rPr>
        <w:t>…</w:t>
      </w:r>
      <w:r>
        <w:rPr>
          <w:bCs/>
          <w:kern w:val="0"/>
          <w:szCs w:val="32"/>
        </w:rPr>
        <w:t>…</w:t>
      </w:r>
      <w:r>
        <w:rPr>
          <w:rFonts w:ascii="方正仿宋_GBK"/>
          <w:bCs/>
          <w:kern w:val="0"/>
          <w:szCs w:val="32"/>
        </w:rPr>
        <w:t>…</w:t>
      </w:r>
      <w:r>
        <w:rPr>
          <w:bCs/>
          <w:kern w:val="0"/>
          <w:szCs w:val="32"/>
        </w:rPr>
        <w:t>…18</w:t>
      </w:r>
    </w:p>
    <w:p>
      <w:pPr>
        <w:adjustRightInd w:val="0"/>
        <w:snapToGrid w:val="0"/>
        <w:rPr>
          <w:b/>
          <w:bCs/>
          <w:kern w:val="0"/>
          <w:szCs w:val="32"/>
        </w:rPr>
      </w:pPr>
      <w:r>
        <w:rPr>
          <w:b/>
          <w:bCs/>
          <w:kern w:val="0"/>
          <w:szCs w:val="32"/>
        </w:rPr>
        <w:t>三、主要任务</w:t>
      </w:r>
      <w:r>
        <w:rPr>
          <w:rFonts w:ascii="方正仿宋_GBK"/>
          <w:b/>
          <w:bCs/>
          <w:kern w:val="0"/>
          <w:szCs w:val="32"/>
        </w:rPr>
        <w:t>……</w:t>
      </w:r>
      <w:r>
        <w:rPr>
          <w:b/>
          <w:bCs/>
          <w:kern w:val="0"/>
          <w:szCs w:val="32"/>
        </w:rPr>
        <w:t>………………………………</w:t>
      </w:r>
      <w:r>
        <w:rPr>
          <w:rFonts w:ascii="方正仿宋_GBK"/>
          <w:b/>
          <w:bCs/>
          <w:kern w:val="0"/>
          <w:szCs w:val="32"/>
        </w:rPr>
        <w:t>………</w:t>
      </w:r>
      <w:r>
        <w:rPr>
          <w:b/>
          <w:bCs/>
          <w:kern w:val="0"/>
          <w:szCs w:val="32"/>
        </w:rPr>
        <w:t>…………19</w:t>
      </w:r>
    </w:p>
    <w:p>
      <w:pPr>
        <w:adjustRightInd w:val="0"/>
        <w:snapToGrid w:val="0"/>
        <w:rPr>
          <w:bCs/>
          <w:kern w:val="0"/>
          <w:szCs w:val="32"/>
        </w:rPr>
      </w:pPr>
      <w:r>
        <w:rPr>
          <w:rFonts w:hint="eastAsia"/>
          <w:kern w:val="0"/>
          <w:szCs w:val="32"/>
        </w:rPr>
        <w:t>（一）</w:t>
      </w:r>
      <w:r>
        <w:rPr>
          <w:kern w:val="0"/>
          <w:szCs w:val="32"/>
        </w:rPr>
        <w:t>健全安全监管体制，</w:t>
      </w:r>
      <w:r>
        <w:rPr>
          <w:szCs w:val="32"/>
        </w:rPr>
        <w:t>强化安全责任落实</w:t>
      </w:r>
      <w:r>
        <w:rPr>
          <w:bCs/>
          <w:kern w:val="0"/>
          <w:szCs w:val="32"/>
        </w:rPr>
        <w:t>…</w:t>
      </w:r>
      <w:r>
        <w:rPr>
          <w:rFonts w:ascii="方正仿宋_GBK"/>
          <w:bCs/>
          <w:kern w:val="0"/>
          <w:szCs w:val="32"/>
        </w:rPr>
        <w:t>……</w:t>
      </w:r>
      <w:r>
        <w:rPr>
          <w:bCs/>
          <w:kern w:val="0"/>
          <w:szCs w:val="32"/>
        </w:rPr>
        <w:t>……</w:t>
      </w:r>
      <w:r>
        <w:rPr>
          <w:rFonts w:ascii="方正仿宋_GBK"/>
          <w:bCs/>
          <w:kern w:val="0"/>
          <w:szCs w:val="32"/>
        </w:rPr>
        <w:t>…</w:t>
      </w:r>
      <w:r>
        <w:rPr>
          <w:bCs/>
          <w:kern w:val="0"/>
          <w:szCs w:val="32"/>
        </w:rPr>
        <w:t>…19</w:t>
      </w:r>
    </w:p>
    <w:p>
      <w:pPr>
        <w:adjustRightInd w:val="0"/>
        <w:snapToGrid w:val="0"/>
        <w:jc w:val="left"/>
        <w:rPr>
          <w:b/>
          <w:szCs w:val="32"/>
        </w:rPr>
      </w:pPr>
      <w:r>
        <w:rPr>
          <w:rFonts w:hint="eastAsia"/>
          <w:kern w:val="0"/>
          <w:szCs w:val="32"/>
        </w:rPr>
        <w:t>（二）</w:t>
      </w:r>
      <w:r>
        <w:rPr>
          <w:szCs w:val="32"/>
        </w:rPr>
        <w:t>加强安全法制建设，规范</w:t>
      </w:r>
      <w:r>
        <w:fldChar w:fldCharType="begin"/>
      </w:r>
      <w:r>
        <w:instrText xml:space="preserve"> HYPERLINK "javascript:SLC(161150,0)" </w:instrText>
      </w:r>
      <w:r>
        <w:fldChar w:fldCharType="separate"/>
      </w:r>
      <w:r>
        <w:rPr>
          <w:szCs w:val="32"/>
        </w:rPr>
        <w:t>安全法</w:t>
      </w:r>
      <w:r>
        <w:rPr>
          <w:szCs w:val="32"/>
        </w:rPr>
        <w:fldChar w:fldCharType="end"/>
      </w:r>
      <w:r>
        <w:rPr>
          <w:szCs w:val="32"/>
        </w:rPr>
        <w:t>治秩序</w:t>
      </w:r>
      <w:r>
        <w:rPr>
          <w:bCs/>
          <w:kern w:val="0"/>
          <w:szCs w:val="32"/>
        </w:rPr>
        <w:t>………</w:t>
      </w:r>
      <w:r>
        <w:rPr>
          <w:rFonts w:ascii="方正仿宋_GBK"/>
          <w:bCs/>
          <w:kern w:val="0"/>
          <w:szCs w:val="32"/>
        </w:rPr>
        <w:t>……</w:t>
      </w:r>
      <w:r>
        <w:rPr>
          <w:bCs/>
          <w:kern w:val="0"/>
          <w:szCs w:val="32"/>
        </w:rPr>
        <w:t>……21</w:t>
      </w:r>
    </w:p>
    <w:p>
      <w:pPr>
        <w:adjustRightInd w:val="0"/>
        <w:snapToGrid w:val="0"/>
        <w:rPr>
          <w:bCs/>
          <w:kern w:val="0"/>
          <w:szCs w:val="32"/>
        </w:rPr>
      </w:pPr>
      <w:r>
        <w:rPr>
          <w:rFonts w:hint="eastAsia"/>
          <w:kern w:val="0"/>
          <w:szCs w:val="32"/>
        </w:rPr>
        <w:t>（三）</w:t>
      </w:r>
      <w:r>
        <w:rPr>
          <w:kern w:val="0"/>
          <w:szCs w:val="32"/>
        </w:rPr>
        <w:t>夯实安全基层基础，提高安全治理水平</w:t>
      </w:r>
      <w:r>
        <w:rPr>
          <w:bCs/>
          <w:kern w:val="0"/>
          <w:szCs w:val="32"/>
        </w:rPr>
        <w:t>………</w:t>
      </w:r>
      <w:r>
        <w:rPr>
          <w:rFonts w:ascii="方正仿宋_GBK"/>
          <w:bCs/>
          <w:kern w:val="0"/>
          <w:szCs w:val="32"/>
        </w:rPr>
        <w:t>…</w:t>
      </w:r>
      <w:r>
        <w:rPr>
          <w:bCs/>
          <w:kern w:val="0"/>
          <w:szCs w:val="32"/>
        </w:rPr>
        <w:t>…</w:t>
      </w:r>
      <w:r>
        <w:rPr>
          <w:rFonts w:ascii="方正仿宋_GBK"/>
          <w:bCs/>
          <w:kern w:val="0"/>
          <w:szCs w:val="32"/>
        </w:rPr>
        <w:t>…</w:t>
      </w:r>
      <w:r>
        <w:rPr>
          <w:bCs/>
          <w:kern w:val="0"/>
          <w:szCs w:val="32"/>
        </w:rPr>
        <w:t>…23</w:t>
      </w:r>
    </w:p>
    <w:p>
      <w:pPr>
        <w:adjustRightInd w:val="0"/>
        <w:snapToGrid w:val="0"/>
        <w:rPr>
          <w:bCs/>
          <w:kern w:val="0"/>
          <w:szCs w:val="32"/>
        </w:rPr>
      </w:pPr>
      <w:r>
        <w:rPr>
          <w:rFonts w:hint="eastAsia"/>
          <w:kern w:val="0"/>
          <w:szCs w:val="32"/>
        </w:rPr>
        <w:t>（四）</w:t>
      </w:r>
      <w:r>
        <w:rPr>
          <w:kern w:val="0"/>
          <w:szCs w:val="32"/>
        </w:rPr>
        <w:t>深化重点领域整治，防范生产安全事故</w:t>
      </w:r>
      <w:r>
        <w:rPr>
          <w:bCs/>
          <w:kern w:val="0"/>
          <w:szCs w:val="32"/>
        </w:rPr>
        <w:t>………</w:t>
      </w:r>
      <w:r>
        <w:rPr>
          <w:rFonts w:ascii="方正仿宋_GBK"/>
          <w:bCs/>
          <w:kern w:val="0"/>
          <w:szCs w:val="32"/>
        </w:rPr>
        <w:t>………</w:t>
      </w:r>
      <w:r>
        <w:rPr>
          <w:bCs/>
          <w:kern w:val="0"/>
          <w:szCs w:val="32"/>
        </w:rPr>
        <w:t>…24</w:t>
      </w:r>
    </w:p>
    <w:p>
      <w:pPr>
        <w:adjustRightInd w:val="0"/>
        <w:snapToGrid w:val="0"/>
        <w:rPr>
          <w:bCs/>
          <w:kern w:val="0"/>
          <w:szCs w:val="32"/>
        </w:rPr>
      </w:pPr>
      <w:r>
        <w:rPr>
          <w:rFonts w:hint="eastAsia"/>
          <w:kern w:val="0"/>
          <w:szCs w:val="32"/>
        </w:rPr>
        <w:t>（五）</w:t>
      </w:r>
      <w:r>
        <w:rPr>
          <w:kern w:val="0"/>
          <w:szCs w:val="32"/>
        </w:rPr>
        <w:t>推进职业危害治理，创建健康作业环境</w:t>
      </w:r>
      <w:r>
        <w:rPr>
          <w:bCs/>
          <w:kern w:val="0"/>
          <w:szCs w:val="32"/>
        </w:rPr>
        <w:t>………</w:t>
      </w:r>
      <w:r>
        <w:rPr>
          <w:rFonts w:ascii="方正仿宋_GBK"/>
          <w:bCs/>
          <w:kern w:val="0"/>
          <w:szCs w:val="32"/>
        </w:rPr>
        <w:t>………</w:t>
      </w:r>
      <w:r>
        <w:rPr>
          <w:bCs/>
          <w:kern w:val="0"/>
          <w:szCs w:val="32"/>
        </w:rPr>
        <w:t>…35</w:t>
      </w:r>
    </w:p>
    <w:p>
      <w:pPr>
        <w:adjustRightInd w:val="0"/>
        <w:snapToGrid w:val="0"/>
        <w:rPr>
          <w:bCs/>
          <w:kern w:val="0"/>
          <w:szCs w:val="32"/>
        </w:rPr>
      </w:pPr>
      <w:r>
        <w:rPr>
          <w:rFonts w:hint="eastAsia"/>
          <w:kern w:val="0"/>
          <w:szCs w:val="32"/>
        </w:rPr>
        <w:t>（六）</w:t>
      </w:r>
      <w:r>
        <w:rPr>
          <w:kern w:val="0"/>
          <w:szCs w:val="32"/>
        </w:rPr>
        <w:t>加强重大风险管理，提高事故防控能力</w:t>
      </w:r>
      <w:r>
        <w:rPr>
          <w:bCs/>
          <w:kern w:val="0"/>
          <w:szCs w:val="32"/>
        </w:rPr>
        <w:t>………</w:t>
      </w:r>
      <w:r>
        <w:rPr>
          <w:rFonts w:ascii="方正仿宋_GBK"/>
          <w:bCs/>
          <w:kern w:val="0"/>
          <w:szCs w:val="32"/>
        </w:rPr>
        <w:t>………</w:t>
      </w:r>
      <w:r>
        <w:rPr>
          <w:bCs/>
          <w:kern w:val="0"/>
          <w:szCs w:val="32"/>
        </w:rPr>
        <w:t>…37</w:t>
      </w:r>
    </w:p>
    <w:p>
      <w:pPr>
        <w:adjustRightInd w:val="0"/>
        <w:snapToGrid w:val="0"/>
        <w:rPr>
          <w:bCs/>
          <w:kern w:val="0"/>
          <w:szCs w:val="32"/>
        </w:rPr>
      </w:pPr>
      <w:r>
        <w:rPr>
          <w:rFonts w:hint="eastAsia"/>
          <w:kern w:val="0"/>
          <w:szCs w:val="32"/>
        </w:rPr>
        <w:t>（七）</w:t>
      </w:r>
      <w:r>
        <w:rPr>
          <w:kern w:val="0"/>
          <w:szCs w:val="32"/>
        </w:rPr>
        <w:t>推动安全科技进步，提升技术支撑能力</w:t>
      </w:r>
      <w:r>
        <w:rPr>
          <w:bCs/>
          <w:kern w:val="0"/>
          <w:szCs w:val="32"/>
        </w:rPr>
        <w:t>………</w:t>
      </w:r>
      <w:r>
        <w:rPr>
          <w:rFonts w:ascii="方正仿宋_GBK"/>
          <w:bCs/>
          <w:kern w:val="0"/>
          <w:szCs w:val="32"/>
        </w:rPr>
        <w:t>………</w:t>
      </w:r>
      <w:r>
        <w:rPr>
          <w:bCs/>
          <w:kern w:val="0"/>
          <w:szCs w:val="32"/>
        </w:rPr>
        <w:t>…38</w:t>
      </w:r>
    </w:p>
    <w:p>
      <w:pPr>
        <w:adjustRightInd w:val="0"/>
        <w:snapToGrid w:val="0"/>
        <w:rPr>
          <w:bCs/>
          <w:kern w:val="0"/>
          <w:szCs w:val="32"/>
        </w:rPr>
      </w:pPr>
      <w:r>
        <w:rPr>
          <w:rFonts w:hint="eastAsia"/>
          <w:kern w:val="0"/>
          <w:szCs w:val="32"/>
        </w:rPr>
        <w:t>（八）</w:t>
      </w:r>
      <w:r>
        <w:rPr>
          <w:kern w:val="0"/>
          <w:szCs w:val="32"/>
        </w:rPr>
        <w:t>健全应急救援体系，提高危机处置能力</w:t>
      </w:r>
      <w:r>
        <w:rPr>
          <w:bCs/>
          <w:kern w:val="0"/>
          <w:szCs w:val="32"/>
        </w:rPr>
        <w:t>…………</w:t>
      </w:r>
      <w:r>
        <w:rPr>
          <w:rFonts w:ascii="方正仿宋_GBK"/>
          <w:bCs/>
          <w:kern w:val="0"/>
          <w:szCs w:val="32"/>
        </w:rPr>
        <w:t>……</w:t>
      </w:r>
      <w:r>
        <w:rPr>
          <w:bCs/>
          <w:kern w:val="0"/>
          <w:szCs w:val="32"/>
        </w:rPr>
        <w:t>…39</w:t>
      </w:r>
    </w:p>
    <w:p>
      <w:pPr>
        <w:adjustRightInd w:val="0"/>
        <w:snapToGrid w:val="0"/>
        <w:rPr>
          <w:bCs/>
          <w:kern w:val="0"/>
          <w:szCs w:val="32"/>
        </w:rPr>
      </w:pPr>
      <w:r>
        <w:rPr>
          <w:rFonts w:hint="eastAsia"/>
          <w:kern w:val="0"/>
          <w:szCs w:val="32"/>
        </w:rPr>
        <w:t>（九）</w:t>
      </w:r>
      <w:r>
        <w:rPr>
          <w:kern w:val="0"/>
          <w:szCs w:val="32"/>
        </w:rPr>
        <w:t>强化安全宣传教育，增强全民安全意识</w:t>
      </w:r>
      <w:r>
        <w:rPr>
          <w:bCs/>
          <w:kern w:val="0"/>
          <w:szCs w:val="32"/>
        </w:rPr>
        <w:t>…………</w:t>
      </w:r>
      <w:r>
        <w:rPr>
          <w:rFonts w:ascii="方正仿宋_GBK"/>
          <w:bCs/>
          <w:kern w:val="0"/>
          <w:szCs w:val="32"/>
        </w:rPr>
        <w:t>……</w:t>
      </w:r>
      <w:r>
        <w:rPr>
          <w:bCs/>
          <w:kern w:val="0"/>
          <w:szCs w:val="32"/>
        </w:rPr>
        <w:t>…40</w:t>
      </w:r>
    </w:p>
    <w:p>
      <w:pPr>
        <w:adjustRightInd w:val="0"/>
        <w:snapToGrid w:val="0"/>
        <w:rPr>
          <w:bCs/>
          <w:kern w:val="0"/>
          <w:szCs w:val="32"/>
        </w:rPr>
      </w:pPr>
      <w:r>
        <w:rPr>
          <w:rFonts w:hint="eastAsia"/>
          <w:kern w:val="0"/>
          <w:szCs w:val="32"/>
        </w:rPr>
        <w:t>（十）</w:t>
      </w:r>
      <w:r>
        <w:rPr>
          <w:kern w:val="0"/>
          <w:szCs w:val="32"/>
        </w:rPr>
        <w:t>加快监管能力建设，提高安全监管水平</w:t>
      </w:r>
      <w:r>
        <w:rPr>
          <w:bCs/>
          <w:kern w:val="0"/>
          <w:szCs w:val="32"/>
        </w:rPr>
        <w:t>………</w:t>
      </w:r>
      <w:r>
        <w:rPr>
          <w:rFonts w:ascii="方正仿宋_GBK"/>
          <w:bCs/>
          <w:kern w:val="0"/>
          <w:szCs w:val="32"/>
        </w:rPr>
        <w:t>………</w:t>
      </w:r>
      <w:r>
        <w:rPr>
          <w:bCs/>
          <w:kern w:val="0"/>
          <w:szCs w:val="32"/>
        </w:rPr>
        <w:t>…42</w:t>
      </w:r>
    </w:p>
    <w:p>
      <w:pPr>
        <w:adjustRightInd w:val="0"/>
        <w:snapToGrid w:val="0"/>
        <w:rPr>
          <w:b/>
          <w:bCs/>
          <w:kern w:val="0"/>
          <w:szCs w:val="32"/>
        </w:rPr>
      </w:pPr>
      <w:r>
        <w:rPr>
          <w:b/>
          <w:bCs/>
          <w:kern w:val="0"/>
          <w:szCs w:val="32"/>
        </w:rPr>
        <w:t>四、重点工程…………………………………………</w:t>
      </w:r>
      <w:r>
        <w:rPr>
          <w:rFonts w:ascii="方正仿宋_GBK"/>
          <w:b/>
          <w:bCs/>
          <w:kern w:val="0"/>
          <w:szCs w:val="32"/>
        </w:rPr>
        <w:t>…</w:t>
      </w:r>
      <w:r>
        <w:rPr>
          <w:b/>
          <w:bCs/>
          <w:kern w:val="0"/>
          <w:szCs w:val="32"/>
        </w:rPr>
        <w:t>…</w:t>
      </w:r>
      <w:r>
        <w:rPr>
          <w:rFonts w:ascii="方正仿宋_GBK"/>
          <w:b/>
          <w:bCs/>
          <w:kern w:val="0"/>
          <w:szCs w:val="32"/>
        </w:rPr>
        <w:t>………</w:t>
      </w:r>
      <w:r>
        <w:rPr>
          <w:b/>
          <w:bCs/>
          <w:kern w:val="0"/>
          <w:szCs w:val="32"/>
        </w:rPr>
        <w:t>43</w:t>
      </w:r>
    </w:p>
    <w:p>
      <w:pPr>
        <w:adjustRightInd w:val="0"/>
        <w:snapToGrid w:val="0"/>
        <w:rPr>
          <w:bCs/>
          <w:kern w:val="0"/>
          <w:szCs w:val="32"/>
        </w:rPr>
      </w:pPr>
      <w:r>
        <w:rPr>
          <w:rFonts w:hint="eastAsia"/>
          <w:kern w:val="0"/>
          <w:szCs w:val="32"/>
        </w:rPr>
        <w:t>（一）</w:t>
      </w:r>
      <w:r>
        <w:rPr>
          <w:kern w:val="0"/>
          <w:szCs w:val="32"/>
        </w:rPr>
        <w:t>安全发展示范城市创建工程</w:t>
      </w:r>
      <w:r>
        <w:rPr>
          <w:bCs/>
          <w:kern w:val="0"/>
          <w:szCs w:val="32"/>
        </w:rPr>
        <w:t>……………</w:t>
      </w:r>
      <w:r>
        <w:rPr>
          <w:rFonts w:ascii="方正仿宋_GBK"/>
          <w:bCs/>
          <w:kern w:val="0"/>
          <w:szCs w:val="32"/>
        </w:rPr>
        <w:t>…</w:t>
      </w:r>
      <w:r>
        <w:rPr>
          <w:bCs/>
          <w:kern w:val="0"/>
          <w:szCs w:val="32"/>
        </w:rPr>
        <w:t>…</w:t>
      </w:r>
      <w:r>
        <w:rPr>
          <w:rFonts w:ascii="方正仿宋_GBK"/>
          <w:bCs/>
          <w:kern w:val="0"/>
          <w:szCs w:val="32"/>
        </w:rPr>
        <w:t>…</w:t>
      </w:r>
      <w:r>
        <w:rPr>
          <w:bCs/>
          <w:kern w:val="0"/>
          <w:szCs w:val="32"/>
        </w:rPr>
        <w:t>…</w:t>
      </w:r>
      <w:r>
        <w:rPr>
          <w:rFonts w:ascii="方正仿宋_GBK"/>
          <w:bCs/>
          <w:kern w:val="0"/>
          <w:szCs w:val="32"/>
        </w:rPr>
        <w:t>…</w:t>
      </w:r>
      <w:r>
        <w:rPr>
          <w:bCs/>
          <w:kern w:val="0"/>
          <w:szCs w:val="32"/>
        </w:rPr>
        <w:t>……43</w:t>
      </w:r>
    </w:p>
    <w:p>
      <w:pPr>
        <w:adjustRightInd w:val="0"/>
        <w:snapToGrid w:val="0"/>
        <w:rPr>
          <w:bCs/>
          <w:kern w:val="0"/>
          <w:szCs w:val="32"/>
        </w:rPr>
      </w:pPr>
      <w:r>
        <w:rPr>
          <w:rFonts w:hint="eastAsia"/>
          <w:kern w:val="0"/>
          <w:szCs w:val="32"/>
        </w:rPr>
        <w:t>（二）</w:t>
      </w:r>
      <w:r>
        <w:rPr>
          <w:szCs w:val="32"/>
        </w:rPr>
        <w:t>安全生产应急救援基地建设工程</w:t>
      </w:r>
      <w:r>
        <w:rPr>
          <w:bCs/>
          <w:kern w:val="0"/>
          <w:szCs w:val="32"/>
        </w:rPr>
        <w:t>…………</w:t>
      </w:r>
      <w:r>
        <w:rPr>
          <w:rFonts w:ascii="方正仿宋_GBK"/>
          <w:bCs/>
          <w:kern w:val="0"/>
          <w:szCs w:val="32"/>
        </w:rPr>
        <w:t>…</w:t>
      </w:r>
      <w:r>
        <w:rPr>
          <w:bCs/>
          <w:kern w:val="0"/>
          <w:szCs w:val="32"/>
        </w:rPr>
        <w:t>……</w:t>
      </w:r>
      <w:r>
        <w:rPr>
          <w:rFonts w:ascii="方正仿宋_GBK"/>
          <w:bCs/>
          <w:kern w:val="0"/>
          <w:szCs w:val="32"/>
        </w:rPr>
        <w:t>……</w:t>
      </w:r>
      <w:r>
        <w:rPr>
          <w:bCs/>
          <w:kern w:val="0"/>
          <w:szCs w:val="32"/>
        </w:rPr>
        <w:t>…44</w:t>
      </w:r>
    </w:p>
    <w:p>
      <w:pPr>
        <w:adjustRightInd w:val="0"/>
        <w:snapToGrid w:val="0"/>
        <w:rPr>
          <w:bCs/>
          <w:kern w:val="0"/>
          <w:szCs w:val="32"/>
        </w:rPr>
      </w:pPr>
      <w:r>
        <w:rPr>
          <w:rFonts w:hint="eastAsia"/>
          <w:kern w:val="0"/>
          <w:szCs w:val="32"/>
        </w:rPr>
        <w:t>（三）</w:t>
      </w:r>
      <w:r>
        <w:rPr>
          <w:szCs w:val="32"/>
        </w:rPr>
        <w:t>安全生产监管职业能力建设工程</w:t>
      </w:r>
      <w:r>
        <w:rPr>
          <w:bCs/>
          <w:kern w:val="0"/>
          <w:szCs w:val="32"/>
        </w:rPr>
        <w:t>……………</w:t>
      </w:r>
      <w:r>
        <w:rPr>
          <w:rFonts w:ascii="方正仿宋_GBK"/>
          <w:bCs/>
          <w:kern w:val="0"/>
          <w:szCs w:val="32"/>
        </w:rPr>
        <w:t>……</w:t>
      </w:r>
      <w:r>
        <w:rPr>
          <w:bCs/>
          <w:kern w:val="0"/>
          <w:szCs w:val="32"/>
        </w:rPr>
        <w:t>…</w:t>
      </w:r>
      <w:r>
        <w:rPr>
          <w:rFonts w:ascii="方正仿宋_GBK"/>
          <w:bCs/>
          <w:kern w:val="0"/>
          <w:szCs w:val="32"/>
        </w:rPr>
        <w:t>…</w:t>
      </w:r>
      <w:r>
        <w:rPr>
          <w:bCs/>
          <w:kern w:val="0"/>
          <w:szCs w:val="32"/>
        </w:rPr>
        <w:t>…45</w:t>
      </w:r>
    </w:p>
    <w:p>
      <w:pPr>
        <w:adjustRightInd w:val="0"/>
        <w:snapToGrid w:val="0"/>
        <w:rPr>
          <w:bCs/>
          <w:kern w:val="0"/>
          <w:szCs w:val="32"/>
        </w:rPr>
      </w:pPr>
      <w:r>
        <w:rPr>
          <w:rFonts w:hint="eastAsia"/>
          <w:kern w:val="0"/>
          <w:szCs w:val="32"/>
        </w:rPr>
        <w:t>（四）</w:t>
      </w:r>
      <w:r>
        <w:rPr>
          <w:kern w:val="0"/>
          <w:szCs w:val="32"/>
        </w:rPr>
        <w:t>安全生产综合监管信息平台建设工程</w:t>
      </w:r>
      <w:r>
        <w:rPr>
          <w:bCs/>
          <w:kern w:val="0"/>
          <w:szCs w:val="32"/>
        </w:rPr>
        <w:t>…………</w:t>
      </w:r>
      <w:r>
        <w:rPr>
          <w:rFonts w:ascii="方正仿宋_GBK"/>
          <w:bCs/>
          <w:kern w:val="0"/>
          <w:szCs w:val="32"/>
        </w:rPr>
        <w:t>…</w:t>
      </w:r>
      <w:r>
        <w:rPr>
          <w:bCs/>
          <w:kern w:val="0"/>
          <w:szCs w:val="32"/>
        </w:rPr>
        <w:t>…</w:t>
      </w:r>
      <w:r>
        <w:rPr>
          <w:rFonts w:ascii="方正仿宋_GBK"/>
          <w:bCs/>
          <w:kern w:val="0"/>
          <w:szCs w:val="32"/>
        </w:rPr>
        <w:t>…</w:t>
      </w:r>
      <w:r>
        <w:rPr>
          <w:bCs/>
          <w:kern w:val="0"/>
          <w:szCs w:val="32"/>
        </w:rPr>
        <w:t>…45</w:t>
      </w:r>
    </w:p>
    <w:p>
      <w:pPr>
        <w:adjustRightInd w:val="0"/>
        <w:snapToGrid w:val="0"/>
        <w:outlineLvl w:val="1"/>
        <w:rPr>
          <w:szCs w:val="32"/>
        </w:rPr>
      </w:pPr>
      <w:r>
        <w:rPr>
          <w:rFonts w:hint="eastAsia"/>
          <w:kern w:val="0"/>
          <w:szCs w:val="32"/>
        </w:rPr>
        <w:t>（五）</w:t>
      </w:r>
      <w:r>
        <w:rPr>
          <w:szCs w:val="32"/>
        </w:rPr>
        <w:t>煤矿提升改造和转型升级工程</w:t>
      </w:r>
      <w:r>
        <w:rPr>
          <w:bCs/>
          <w:kern w:val="0"/>
          <w:szCs w:val="32"/>
        </w:rPr>
        <w:t>……………………</w:t>
      </w:r>
      <w:r>
        <w:rPr>
          <w:rFonts w:ascii="方正仿宋_GBK"/>
          <w:bCs/>
          <w:kern w:val="0"/>
          <w:szCs w:val="32"/>
        </w:rPr>
        <w:t>……</w:t>
      </w:r>
      <w:r>
        <w:rPr>
          <w:bCs/>
          <w:kern w:val="0"/>
          <w:szCs w:val="32"/>
        </w:rPr>
        <w:t>…46</w:t>
      </w:r>
    </w:p>
    <w:p>
      <w:pPr>
        <w:adjustRightInd w:val="0"/>
        <w:snapToGrid w:val="0"/>
        <w:jc w:val="left"/>
        <w:rPr>
          <w:kern w:val="0"/>
          <w:szCs w:val="32"/>
        </w:rPr>
      </w:pPr>
      <w:r>
        <w:rPr>
          <w:rFonts w:hint="eastAsia"/>
          <w:kern w:val="0"/>
          <w:szCs w:val="32"/>
        </w:rPr>
        <w:t>（六）</w:t>
      </w:r>
      <w:r>
        <w:rPr>
          <w:bCs/>
          <w:kern w:val="0"/>
          <w:szCs w:val="32"/>
        </w:rPr>
        <w:t>非煤矿山</w:t>
      </w:r>
      <w:r>
        <w:rPr>
          <w:szCs w:val="32"/>
        </w:rPr>
        <w:t>提升改造和转型升级</w:t>
      </w:r>
      <w:r>
        <w:rPr>
          <w:bCs/>
          <w:kern w:val="0"/>
          <w:szCs w:val="32"/>
        </w:rPr>
        <w:t>工程………………</w:t>
      </w:r>
      <w:r>
        <w:rPr>
          <w:rFonts w:ascii="方正仿宋_GBK"/>
          <w:bCs/>
          <w:kern w:val="0"/>
          <w:szCs w:val="32"/>
        </w:rPr>
        <w:t>……</w:t>
      </w:r>
      <w:r>
        <w:rPr>
          <w:bCs/>
          <w:kern w:val="0"/>
          <w:szCs w:val="32"/>
        </w:rPr>
        <w:t>…46</w:t>
      </w:r>
    </w:p>
    <w:p>
      <w:pPr>
        <w:adjustRightInd w:val="0"/>
        <w:snapToGrid w:val="0"/>
        <w:jc w:val="left"/>
        <w:rPr>
          <w:kern w:val="0"/>
          <w:szCs w:val="32"/>
        </w:rPr>
      </w:pPr>
      <w:r>
        <w:rPr>
          <w:rFonts w:hint="eastAsia"/>
          <w:kern w:val="0"/>
          <w:szCs w:val="32"/>
        </w:rPr>
        <w:t>（七）</w:t>
      </w:r>
      <w:r>
        <w:rPr>
          <w:bCs/>
          <w:kern w:val="0"/>
          <w:szCs w:val="32"/>
        </w:rPr>
        <w:t>危险化学品安全治理工程………………………</w:t>
      </w:r>
      <w:r>
        <w:rPr>
          <w:rFonts w:ascii="方正仿宋_GBK"/>
          <w:bCs/>
          <w:kern w:val="0"/>
          <w:szCs w:val="32"/>
        </w:rPr>
        <w:t>………</w:t>
      </w:r>
      <w:r>
        <w:rPr>
          <w:bCs/>
          <w:kern w:val="0"/>
          <w:szCs w:val="32"/>
        </w:rPr>
        <w:t>…46</w:t>
      </w:r>
    </w:p>
    <w:p>
      <w:pPr>
        <w:adjustRightInd w:val="0"/>
        <w:snapToGrid w:val="0"/>
        <w:rPr>
          <w:bCs/>
          <w:kern w:val="0"/>
          <w:szCs w:val="32"/>
        </w:rPr>
      </w:pPr>
      <w:r>
        <w:rPr>
          <w:rFonts w:hint="eastAsia"/>
          <w:kern w:val="0"/>
          <w:szCs w:val="32"/>
        </w:rPr>
        <w:t>（八）</w:t>
      </w:r>
      <w:r>
        <w:rPr>
          <w:bCs/>
          <w:kern w:val="0"/>
          <w:szCs w:val="32"/>
        </w:rPr>
        <w:t>职业病危害治理示范工程………………………</w:t>
      </w:r>
      <w:r>
        <w:rPr>
          <w:rFonts w:ascii="方正仿宋_GBK"/>
          <w:bCs/>
          <w:kern w:val="0"/>
          <w:szCs w:val="32"/>
        </w:rPr>
        <w:t>………</w:t>
      </w:r>
      <w:r>
        <w:rPr>
          <w:bCs/>
          <w:kern w:val="0"/>
          <w:szCs w:val="32"/>
        </w:rPr>
        <w:t>…47</w:t>
      </w:r>
    </w:p>
    <w:p>
      <w:pPr>
        <w:adjustRightInd w:val="0"/>
        <w:snapToGrid w:val="0"/>
        <w:rPr>
          <w:bCs/>
          <w:kern w:val="0"/>
          <w:szCs w:val="32"/>
        </w:rPr>
      </w:pPr>
      <w:r>
        <w:rPr>
          <w:rFonts w:hint="eastAsia"/>
          <w:kern w:val="0"/>
          <w:szCs w:val="32"/>
        </w:rPr>
        <w:t>（九）</w:t>
      </w:r>
      <w:r>
        <w:rPr>
          <w:bCs/>
          <w:kern w:val="0"/>
          <w:szCs w:val="32"/>
        </w:rPr>
        <w:t>安全文化建设工程……………………………</w:t>
      </w:r>
      <w:r>
        <w:rPr>
          <w:rFonts w:ascii="方正仿宋_GBK"/>
          <w:bCs/>
          <w:kern w:val="0"/>
          <w:szCs w:val="32"/>
        </w:rPr>
        <w:t>………</w:t>
      </w:r>
      <w:r>
        <w:rPr>
          <w:bCs/>
          <w:kern w:val="0"/>
          <w:szCs w:val="32"/>
        </w:rPr>
        <w:t>……47</w:t>
      </w:r>
    </w:p>
    <w:p>
      <w:pPr>
        <w:adjustRightInd w:val="0"/>
        <w:snapToGrid w:val="0"/>
        <w:rPr>
          <w:bCs/>
          <w:kern w:val="0"/>
          <w:szCs w:val="32"/>
        </w:rPr>
      </w:pPr>
      <w:r>
        <w:rPr>
          <w:rFonts w:hint="eastAsia"/>
          <w:kern w:val="0"/>
          <w:szCs w:val="32"/>
        </w:rPr>
        <w:t>（十）</w:t>
      </w:r>
      <w:r>
        <w:rPr>
          <w:bCs/>
          <w:kern w:val="0"/>
          <w:szCs w:val="32"/>
        </w:rPr>
        <w:t>公共安全保障工程………………………………</w:t>
      </w:r>
      <w:r>
        <w:rPr>
          <w:rFonts w:ascii="方正仿宋_GBK"/>
          <w:bCs/>
          <w:kern w:val="0"/>
          <w:szCs w:val="32"/>
        </w:rPr>
        <w:t>………</w:t>
      </w:r>
      <w:r>
        <w:rPr>
          <w:bCs/>
          <w:kern w:val="0"/>
          <w:szCs w:val="32"/>
        </w:rPr>
        <w:t>…48</w:t>
      </w:r>
    </w:p>
    <w:p>
      <w:pPr>
        <w:adjustRightInd w:val="0"/>
        <w:snapToGrid w:val="0"/>
        <w:rPr>
          <w:b/>
          <w:bCs/>
          <w:kern w:val="0"/>
          <w:szCs w:val="32"/>
        </w:rPr>
      </w:pPr>
      <w:r>
        <w:rPr>
          <w:b/>
          <w:bCs/>
          <w:kern w:val="0"/>
          <w:szCs w:val="32"/>
        </w:rPr>
        <w:t>五、保障措施………………………………………</w:t>
      </w:r>
      <w:r>
        <w:rPr>
          <w:rFonts w:ascii="方正仿宋_GBK"/>
          <w:b/>
          <w:bCs/>
          <w:kern w:val="0"/>
          <w:szCs w:val="32"/>
        </w:rPr>
        <w:t>……</w:t>
      </w:r>
      <w:r>
        <w:rPr>
          <w:b/>
          <w:bCs/>
          <w:kern w:val="0"/>
          <w:szCs w:val="32"/>
        </w:rPr>
        <w:t>…</w:t>
      </w:r>
      <w:r>
        <w:rPr>
          <w:rFonts w:ascii="方正仿宋_GBK"/>
          <w:b/>
          <w:bCs/>
          <w:kern w:val="0"/>
          <w:szCs w:val="32"/>
        </w:rPr>
        <w:t>……</w:t>
      </w:r>
      <w:r>
        <w:rPr>
          <w:b/>
          <w:bCs/>
          <w:kern w:val="0"/>
          <w:szCs w:val="32"/>
        </w:rPr>
        <w:t>…49</w:t>
      </w:r>
    </w:p>
    <w:p>
      <w:pPr>
        <w:adjustRightInd w:val="0"/>
        <w:snapToGrid w:val="0"/>
        <w:rPr>
          <w:bCs/>
          <w:kern w:val="0"/>
          <w:szCs w:val="32"/>
        </w:rPr>
      </w:pPr>
      <w:r>
        <w:rPr>
          <w:rFonts w:hint="eastAsia"/>
          <w:kern w:val="0"/>
          <w:szCs w:val="32"/>
        </w:rPr>
        <w:t>（一）</w:t>
      </w:r>
      <w:r>
        <w:rPr>
          <w:bCs/>
          <w:kern w:val="0"/>
          <w:szCs w:val="32"/>
        </w:rPr>
        <w:t>统筹协调部署……………………………………</w:t>
      </w:r>
      <w:r>
        <w:rPr>
          <w:rFonts w:ascii="方正仿宋_GBK"/>
          <w:bCs/>
          <w:kern w:val="0"/>
          <w:szCs w:val="32"/>
        </w:rPr>
        <w:t>……</w:t>
      </w:r>
      <w:r>
        <w:rPr>
          <w:bCs/>
          <w:kern w:val="0"/>
          <w:szCs w:val="32"/>
        </w:rPr>
        <w:t>……49</w:t>
      </w:r>
    </w:p>
    <w:p>
      <w:pPr>
        <w:adjustRightInd w:val="0"/>
        <w:snapToGrid w:val="0"/>
        <w:rPr>
          <w:bCs/>
          <w:kern w:val="0"/>
          <w:szCs w:val="32"/>
        </w:rPr>
      </w:pPr>
      <w:r>
        <w:rPr>
          <w:rFonts w:hint="eastAsia"/>
          <w:kern w:val="0"/>
          <w:szCs w:val="32"/>
        </w:rPr>
        <w:t>（二）</w:t>
      </w:r>
      <w:r>
        <w:rPr>
          <w:kern w:val="0"/>
          <w:szCs w:val="32"/>
        </w:rPr>
        <w:t>明确责任分工</w:t>
      </w:r>
      <w:r>
        <w:rPr>
          <w:bCs/>
          <w:kern w:val="0"/>
          <w:szCs w:val="32"/>
        </w:rPr>
        <w:t>……………………………………</w:t>
      </w:r>
      <w:r>
        <w:rPr>
          <w:rFonts w:ascii="方正仿宋_GBK"/>
          <w:bCs/>
          <w:kern w:val="0"/>
          <w:szCs w:val="32"/>
        </w:rPr>
        <w:t>……</w:t>
      </w:r>
      <w:r>
        <w:rPr>
          <w:bCs/>
          <w:kern w:val="0"/>
          <w:szCs w:val="32"/>
        </w:rPr>
        <w:t>……50</w:t>
      </w:r>
    </w:p>
    <w:p>
      <w:pPr>
        <w:adjustRightInd w:val="0"/>
        <w:snapToGrid w:val="0"/>
        <w:rPr>
          <w:bCs/>
          <w:kern w:val="0"/>
          <w:szCs w:val="32"/>
        </w:rPr>
      </w:pPr>
      <w:r>
        <w:rPr>
          <w:rFonts w:hint="eastAsia"/>
          <w:kern w:val="0"/>
          <w:szCs w:val="32"/>
        </w:rPr>
        <w:t>（三）</w:t>
      </w:r>
      <w:r>
        <w:rPr>
          <w:bCs/>
          <w:kern w:val="0"/>
          <w:szCs w:val="32"/>
        </w:rPr>
        <w:t>加大安全</w:t>
      </w:r>
      <w:r>
        <w:rPr>
          <w:kern w:val="0"/>
          <w:szCs w:val="32"/>
        </w:rPr>
        <w:t>投入</w:t>
      </w:r>
      <w:r>
        <w:rPr>
          <w:bCs/>
          <w:kern w:val="0"/>
          <w:szCs w:val="32"/>
        </w:rPr>
        <w:t>………………………………………</w:t>
      </w:r>
      <w:r>
        <w:rPr>
          <w:rFonts w:ascii="方正仿宋_GBK"/>
          <w:bCs/>
          <w:kern w:val="0"/>
          <w:szCs w:val="32"/>
        </w:rPr>
        <w:t>……</w:t>
      </w:r>
      <w:r>
        <w:rPr>
          <w:bCs/>
          <w:kern w:val="0"/>
          <w:szCs w:val="32"/>
        </w:rPr>
        <w:t>…50</w:t>
      </w:r>
    </w:p>
    <w:p>
      <w:pPr>
        <w:adjustRightInd w:val="0"/>
        <w:snapToGrid w:val="0"/>
        <w:rPr>
          <w:kern w:val="0"/>
          <w:szCs w:val="32"/>
        </w:rPr>
      </w:pPr>
      <w:r>
        <w:rPr>
          <w:rFonts w:hint="eastAsia"/>
          <w:kern w:val="0"/>
          <w:szCs w:val="32"/>
        </w:rPr>
        <w:t>（四）</w:t>
      </w:r>
      <w:r>
        <w:rPr>
          <w:kern w:val="0"/>
          <w:szCs w:val="32"/>
        </w:rPr>
        <w:t>搞好考核评估</w:t>
      </w:r>
      <w:r>
        <w:rPr>
          <w:bCs/>
          <w:kern w:val="0"/>
          <w:szCs w:val="32"/>
        </w:rPr>
        <w:t>………………………………………</w:t>
      </w:r>
      <w:r>
        <w:rPr>
          <w:rFonts w:ascii="方正仿宋_GBK"/>
          <w:bCs/>
          <w:kern w:val="0"/>
          <w:szCs w:val="32"/>
        </w:rPr>
        <w:t>……</w:t>
      </w:r>
      <w:r>
        <w:rPr>
          <w:bCs/>
          <w:kern w:val="0"/>
          <w:szCs w:val="32"/>
        </w:rPr>
        <w:t>…50</w:t>
      </w:r>
    </w:p>
    <w:p>
      <w:pPr>
        <w:adjustRightInd w:val="0"/>
        <w:snapToGrid w:val="0"/>
        <w:rPr>
          <w:b/>
          <w:bCs/>
          <w:kern w:val="0"/>
          <w:szCs w:val="32"/>
        </w:rPr>
      </w:pPr>
      <w:r>
        <w:rPr>
          <w:b/>
          <w:bCs/>
          <w:kern w:val="0"/>
          <w:szCs w:val="32"/>
        </w:rPr>
        <w:t>六、附件……………………………………………</w:t>
      </w:r>
      <w:r>
        <w:rPr>
          <w:rFonts w:ascii="方正仿宋_GBK"/>
          <w:b/>
          <w:bCs/>
          <w:kern w:val="0"/>
          <w:szCs w:val="32"/>
        </w:rPr>
        <w:t>…</w:t>
      </w:r>
      <w:r>
        <w:rPr>
          <w:b/>
          <w:bCs/>
          <w:kern w:val="0"/>
          <w:szCs w:val="32"/>
        </w:rPr>
        <w:t>…</w:t>
      </w:r>
      <w:r>
        <w:rPr>
          <w:rFonts w:ascii="方正仿宋_GBK"/>
          <w:b/>
          <w:bCs/>
          <w:kern w:val="0"/>
          <w:szCs w:val="32"/>
        </w:rPr>
        <w:t>………</w:t>
      </w:r>
      <w:r>
        <w:rPr>
          <w:b/>
          <w:bCs/>
          <w:kern w:val="0"/>
          <w:szCs w:val="32"/>
        </w:rPr>
        <w:t>…52</w:t>
      </w:r>
    </w:p>
    <w:p>
      <w:pPr>
        <w:adjustRightInd w:val="0"/>
        <w:snapToGrid w:val="0"/>
        <w:rPr>
          <w:bCs/>
          <w:kern w:val="0"/>
          <w:szCs w:val="32"/>
        </w:rPr>
      </w:pPr>
      <w:r>
        <w:rPr>
          <w:rFonts w:hint="eastAsia"/>
          <w:kern w:val="0"/>
          <w:szCs w:val="32"/>
        </w:rPr>
        <w:t>（一）</w:t>
      </w:r>
      <w:r>
        <w:rPr>
          <w:bCs/>
          <w:kern w:val="0"/>
          <w:szCs w:val="32"/>
        </w:rPr>
        <w:t>规划名词解释………………………………………</w:t>
      </w:r>
      <w:r>
        <w:rPr>
          <w:rFonts w:ascii="方正仿宋_GBK"/>
          <w:bCs/>
          <w:kern w:val="0"/>
          <w:szCs w:val="32"/>
        </w:rPr>
        <w:t>……</w:t>
      </w:r>
      <w:r>
        <w:rPr>
          <w:bCs/>
          <w:kern w:val="0"/>
          <w:szCs w:val="32"/>
        </w:rPr>
        <w:t>…52</w:t>
      </w:r>
    </w:p>
    <w:p>
      <w:pPr>
        <w:adjustRightInd w:val="0"/>
        <w:snapToGrid w:val="0"/>
        <w:rPr>
          <w:bCs/>
          <w:kern w:val="0"/>
          <w:szCs w:val="32"/>
        </w:rPr>
      </w:pPr>
      <w:r>
        <w:rPr>
          <w:rFonts w:hint="eastAsia"/>
          <w:kern w:val="0"/>
          <w:szCs w:val="32"/>
        </w:rPr>
        <w:t>（二）</w:t>
      </w:r>
      <w:r>
        <w:rPr>
          <w:bCs/>
          <w:kern w:val="0"/>
          <w:szCs w:val="32"/>
        </w:rPr>
        <w:t>规划重点工程项目列表…………………………</w:t>
      </w:r>
      <w:r>
        <w:rPr>
          <w:rFonts w:ascii="方正仿宋_GBK"/>
          <w:bCs/>
          <w:kern w:val="0"/>
          <w:szCs w:val="32"/>
        </w:rPr>
        <w:t>…</w:t>
      </w:r>
      <w:r>
        <w:rPr>
          <w:bCs/>
          <w:kern w:val="0"/>
          <w:szCs w:val="32"/>
        </w:rPr>
        <w:t>…</w:t>
      </w:r>
      <w:r>
        <w:rPr>
          <w:rFonts w:ascii="方正仿宋_GBK"/>
          <w:bCs/>
          <w:kern w:val="0"/>
          <w:szCs w:val="32"/>
        </w:rPr>
        <w:t>…</w:t>
      </w:r>
      <w:r>
        <w:rPr>
          <w:bCs/>
          <w:kern w:val="0"/>
          <w:szCs w:val="32"/>
        </w:rPr>
        <w:t>…54</w:t>
      </w:r>
    </w:p>
    <w:p>
      <w:pPr>
        <w:adjustRightInd w:val="0"/>
        <w:snapToGrid w:val="0"/>
        <w:rPr>
          <w:bCs/>
          <w:kern w:val="0"/>
          <w:szCs w:val="32"/>
        </w:rPr>
      </w:pPr>
    </w:p>
    <w:p>
      <w:pPr>
        <w:adjustRightInd w:val="0"/>
        <w:snapToGrid w:val="0"/>
        <w:rPr>
          <w:bCs/>
          <w:kern w:val="0"/>
          <w:szCs w:val="32"/>
        </w:rPr>
      </w:pPr>
    </w:p>
    <w:p>
      <w:pPr>
        <w:adjustRightInd w:val="0"/>
        <w:snapToGrid w:val="0"/>
        <w:rPr>
          <w:bCs/>
          <w:kern w:val="0"/>
          <w:szCs w:val="32"/>
        </w:rPr>
      </w:pPr>
    </w:p>
    <w:p>
      <w:pPr>
        <w:jc w:val="center"/>
        <w:rPr>
          <w:rFonts w:hint="eastAsia" w:ascii="方正小标宋_GBK" w:eastAsia="方正小标宋_GBK"/>
          <w:sz w:val="44"/>
          <w:szCs w:val="44"/>
        </w:rPr>
      </w:pPr>
      <w:r>
        <w:rPr>
          <w:rFonts w:hint="eastAsia" w:ascii="方正小标宋_GBK" w:eastAsia="方正小标宋_GBK"/>
          <w:sz w:val="44"/>
          <w:szCs w:val="44"/>
        </w:rPr>
        <w:t>曲靖市安全生产“十三五”发展规划</w:t>
      </w:r>
    </w:p>
    <w:p>
      <w:pPr>
        <w:ind w:firstLine="640" w:firstLineChars="200"/>
        <w:rPr>
          <w:szCs w:val="32"/>
        </w:rPr>
      </w:pPr>
    </w:p>
    <w:p>
      <w:pPr>
        <w:ind w:firstLine="640" w:firstLineChars="200"/>
        <w:rPr>
          <w:szCs w:val="32"/>
        </w:rPr>
      </w:pPr>
      <w:bookmarkStart w:id="0" w:name="OLE_LINK2"/>
      <w:r>
        <w:rPr>
          <w:szCs w:val="32"/>
        </w:rPr>
        <w:t>为深入贯彻落实党中央、国务院和省委省政府、市委市政府关于加强安全生产工作的</w:t>
      </w:r>
      <w:bookmarkEnd w:id="0"/>
      <w:r>
        <w:rPr>
          <w:szCs w:val="32"/>
        </w:rPr>
        <w:t>决策部署，</w:t>
      </w:r>
      <w:bookmarkStart w:id="1" w:name="OLE_LINK1"/>
      <w:r>
        <w:rPr>
          <w:szCs w:val="32"/>
        </w:rPr>
        <w:t>推进安全发展，</w:t>
      </w:r>
      <w:bookmarkEnd w:id="1"/>
      <w:r>
        <w:rPr>
          <w:szCs w:val="32"/>
        </w:rPr>
        <w:t>依据《云南省安全生产“十三五”规划》和《曲靖市国民经济和社会发展第十三个五年规划纲要》等文件，编制本规划。</w:t>
      </w:r>
    </w:p>
    <w:p>
      <w:pPr>
        <w:ind w:firstLine="640" w:firstLineChars="200"/>
        <w:rPr>
          <w:spacing w:val="-8"/>
          <w:szCs w:val="32"/>
        </w:rPr>
      </w:pPr>
      <w:r>
        <w:rPr>
          <w:szCs w:val="32"/>
        </w:rPr>
        <w:t>本规划提出2016年至2020年本市安全生产工作的总体思路、发展目标、主要任务、重点工程和保障措施，是各级政府和部门依法履行安全生产监管职责、制定实施年度工作计划和各项</w:t>
      </w:r>
      <w:r>
        <w:rPr>
          <w:spacing w:val="-8"/>
          <w:szCs w:val="32"/>
        </w:rPr>
        <w:t>政策措施的重要依据，是今后五年本市安全生产工作的行动纲领。</w:t>
      </w:r>
    </w:p>
    <w:p>
      <w:pPr>
        <w:ind w:firstLine="640" w:firstLineChars="200"/>
        <w:rPr>
          <w:szCs w:val="32"/>
        </w:rPr>
      </w:pPr>
      <w:r>
        <w:rPr>
          <w:szCs w:val="32"/>
        </w:rPr>
        <w:t>本规划中凡涉及负有安全生产监督管理职责政府部门的内容，由有关部门负责组织实施。重大工程要编制工程专项论证报告，提出建设目标、建设内容、进度安排，落实资金筹措方案，确保曲靖市“十三五”时期安全生产规划目标的实现。</w:t>
      </w:r>
    </w:p>
    <w:p>
      <w:pPr>
        <w:ind w:firstLine="640" w:firstLineChars="200"/>
        <w:rPr>
          <w:rFonts w:hint="eastAsia" w:ascii="方正黑体_GBK" w:eastAsia="方正黑体_GBK"/>
          <w:szCs w:val="32"/>
        </w:rPr>
      </w:pPr>
      <w:r>
        <w:rPr>
          <w:rFonts w:hint="eastAsia" w:ascii="方正黑体_GBK" w:eastAsia="方正黑体_GBK"/>
          <w:szCs w:val="32"/>
        </w:rPr>
        <w:t>一、安全生产现状与形势</w:t>
      </w:r>
    </w:p>
    <w:p>
      <w:pPr>
        <w:ind w:firstLine="640" w:firstLineChars="200"/>
        <w:rPr>
          <w:rFonts w:hint="eastAsia" w:ascii="方正楷体_GBK" w:eastAsia="方正楷体_GBK"/>
          <w:szCs w:val="32"/>
        </w:rPr>
      </w:pPr>
      <w:r>
        <w:rPr>
          <w:rFonts w:hint="eastAsia" w:ascii="方正楷体_GBK" w:eastAsia="方正楷体_GBK"/>
          <w:szCs w:val="32"/>
        </w:rPr>
        <w:t>（一）“十二五”安全生产工作情况</w:t>
      </w:r>
    </w:p>
    <w:p>
      <w:pPr>
        <w:ind w:firstLine="640" w:firstLineChars="200"/>
        <w:rPr>
          <w:szCs w:val="32"/>
        </w:rPr>
      </w:pPr>
      <w:r>
        <w:rPr>
          <w:szCs w:val="32"/>
        </w:rPr>
        <w:t>1</w:t>
      </w:r>
      <w:r>
        <w:rPr>
          <w:rFonts w:hint="eastAsia"/>
          <w:szCs w:val="32"/>
        </w:rPr>
        <w:t>.</w:t>
      </w:r>
      <w:r>
        <w:rPr>
          <w:szCs w:val="32"/>
        </w:rPr>
        <w:t>“十二五”期间取得的成绩</w:t>
      </w:r>
    </w:p>
    <w:p>
      <w:pPr>
        <w:ind w:firstLine="640" w:firstLineChars="200"/>
        <w:rPr>
          <w:szCs w:val="32"/>
        </w:rPr>
      </w:pPr>
      <w:r>
        <w:rPr>
          <w:szCs w:val="32"/>
        </w:rPr>
        <w:t>“十二五”期间，在市委、市政府的高度重视和坚强领导下，全市各级各部门和广大生产经营单位认真落实党中央国务院、省委省政府、市委市政府安全生产各项决策部署，坚持科学发展安全发展理念，坚持人民利益至上，狠抓责任落实和改革创新，建立了“党政同责、一岗双责、齐抓共管、失职追责”和“管行业必须管安全、管业务必须管安全、管生产经营必须管安全”的安全生产责任体系和监管机制。深入开展安全生产专项整治，强力推进煤矿整顿关闭，及时启动非煤矿山转型升级工作，加强道路交通、消防火灾、输油管线等重大隐患治理，较好地完成了各阶段专项整治、隐患整改和煤矿整顿关闭任务。积极推动危化企业危险工艺自动化改造，切实加强重大危险源管理，集中开展了劳动密集型企业消防安全、涉氨制冷、粉尘防爆、有限空间作业及烟花爆竹经营安全专项治理，有效防范了生产安全事故。按照“全覆盖、零容忍、严执法、重实效”的要求，全方位、多频次开展了安全生产大检查，深入排查治理安全生产隐患，切实加大执法力度，严厉查处了一大批安全生产领域非法违法行为，严肃查处了各类生产安全责任事故。大力推进安全生产标准化创建，有序提升企业本职安全水平，企业安全生产主体责任得到有效落实。狠抓安全生产应急救援体系建设，全面开展矿山、危化品等高危行业应急救援预案编制、评审、备案、演练等规范管理工作，重大危险源监控和安全生产应急管理工作进一步规范化、制度化。强化安全基础和保障能力建设，实施了“3568”安保双基工程建设，市、县、乡三级安全监管部门能力建设得到加强，构建了以三级监管队伍为基础的安全监管网络。持续开展安全生产月、“安康杯”竞赛等多种形式的宣传教育活动，积极推进企业安全文化建设，职工群众和社会公众安全意识逐步提升，营造了全社会支持和参与安全生产的氛围。五年来，在全市固定资产投资大量增加，在建项目不断增多，交通运输市场需求旺盛及工业经济持续下行的巨大压力下，基本完成了“十二五”期间安全生产各项任务，实现了全市安全生产形势总体平稳并趋向好转的目标。</w:t>
      </w:r>
    </w:p>
    <w:p>
      <w:pPr>
        <w:jc w:val="center"/>
        <w:rPr>
          <w:b/>
          <w:szCs w:val="32"/>
        </w:rPr>
      </w:pPr>
      <w:r>
        <w:rPr>
          <w:b/>
          <w:szCs w:val="32"/>
        </w:rPr>
        <w:t>表1：2011年——2015年全市各类事故起数和死亡人数</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1050"/>
        <w:gridCol w:w="1552"/>
        <w:gridCol w:w="1192"/>
        <w:gridCol w:w="1139"/>
        <w:gridCol w:w="1170"/>
        <w:gridCol w:w="896"/>
        <w:gridCol w:w="8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368" w:type="dxa"/>
            <w:vAlign w:val="center"/>
          </w:tcPr>
          <w:p>
            <w:pPr>
              <w:jc w:val="center"/>
              <w:rPr>
                <w:sz w:val="28"/>
                <w:szCs w:val="28"/>
              </w:rPr>
            </w:pPr>
            <w:r>
              <w:rPr>
                <w:sz w:val="28"/>
                <w:szCs w:val="28"/>
              </w:rPr>
              <w:t>项</w:t>
            </w:r>
            <w:r>
              <w:rPr>
                <w:rFonts w:hint="eastAsia"/>
                <w:sz w:val="28"/>
                <w:szCs w:val="28"/>
              </w:rPr>
              <w:t xml:space="preserve">  </w:t>
            </w:r>
            <w:r>
              <w:rPr>
                <w:sz w:val="28"/>
                <w:szCs w:val="28"/>
              </w:rPr>
              <w:t>目</w:t>
            </w:r>
          </w:p>
        </w:tc>
        <w:tc>
          <w:tcPr>
            <w:tcW w:w="1050" w:type="dxa"/>
            <w:vAlign w:val="center"/>
          </w:tcPr>
          <w:p>
            <w:pPr>
              <w:ind w:right="-166" w:rightChars="-52"/>
              <w:jc w:val="center"/>
              <w:rPr>
                <w:sz w:val="28"/>
                <w:szCs w:val="28"/>
              </w:rPr>
            </w:pPr>
            <w:r>
              <w:rPr>
                <w:sz w:val="28"/>
                <w:szCs w:val="28"/>
              </w:rPr>
              <w:t>2011年</w:t>
            </w:r>
          </w:p>
        </w:tc>
        <w:tc>
          <w:tcPr>
            <w:tcW w:w="1552" w:type="dxa"/>
            <w:vAlign w:val="center"/>
          </w:tcPr>
          <w:p>
            <w:pPr>
              <w:jc w:val="center"/>
              <w:rPr>
                <w:sz w:val="28"/>
                <w:szCs w:val="28"/>
              </w:rPr>
            </w:pPr>
            <w:r>
              <w:rPr>
                <w:sz w:val="28"/>
                <w:szCs w:val="28"/>
              </w:rPr>
              <w:t>2012年</w:t>
            </w:r>
          </w:p>
        </w:tc>
        <w:tc>
          <w:tcPr>
            <w:tcW w:w="1192" w:type="dxa"/>
            <w:vAlign w:val="center"/>
          </w:tcPr>
          <w:p>
            <w:pPr>
              <w:jc w:val="center"/>
              <w:rPr>
                <w:sz w:val="28"/>
                <w:szCs w:val="28"/>
              </w:rPr>
            </w:pPr>
            <w:r>
              <w:rPr>
                <w:sz w:val="28"/>
                <w:szCs w:val="28"/>
              </w:rPr>
              <w:t>2013年</w:t>
            </w:r>
          </w:p>
        </w:tc>
        <w:tc>
          <w:tcPr>
            <w:tcW w:w="1139" w:type="dxa"/>
            <w:vAlign w:val="center"/>
          </w:tcPr>
          <w:p>
            <w:pPr>
              <w:jc w:val="center"/>
              <w:rPr>
                <w:sz w:val="28"/>
                <w:szCs w:val="28"/>
              </w:rPr>
            </w:pPr>
            <w:r>
              <w:rPr>
                <w:sz w:val="28"/>
                <w:szCs w:val="28"/>
              </w:rPr>
              <w:t>2014年</w:t>
            </w:r>
          </w:p>
        </w:tc>
        <w:tc>
          <w:tcPr>
            <w:tcW w:w="1170" w:type="dxa"/>
            <w:vAlign w:val="center"/>
          </w:tcPr>
          <w:p>
            <w:pPr>
              <w:jc w:val="center"/>
              <w:rPr>
                <w:sz w:val="28"/>
                <w:szCs w:val="28"/>
              </w:rPr>
            </w:pPr>
            <w:r>
              <w:rPr>
                <w:sz w:val="28"/>
                <w:szCs w:val="28"/>
              </w:rPr>
              <w:t>2015年</w:t>
            </w:r>
          </w:p>
        </w:tc>
        <w:tc>
          <w:tcPr>
            <w:tcW w:w="896" w:type="dxa"/>
            <w:vAlign w:val="center"/>
          </w:tcPr>
          <w:p>
            <w:pPr>
              <w:jc w:val="center"/>
              <w:rPr>
                <w:sz w:val="28"/>
                <w:szCs w:val="28"/>
              </w:rPr>
            </w:pPr>
            <w:r>
              <w:rPr>
                <w:sz w:val="28"/>
                <w:szCs w:val="28"/>
              </w:rPr>
              <w:t>合计</w:t>
            </w:r>
          </w:p>
        </w:tc>
        <w:tc>
          <w:tcPr>
            <w:tcW w:w="812" w:type="dxa"/>
            <w:vAlign w:val="center"/>
          </w:tcPr>
          <w:p>
            <w:pPr>
              <w:jc w:val="center"/>
              <w:rPr>
                <w:sz w:val="28"/>
                <w:szCs w:val="28"/>
              </w:rPr>
            </w:pPr>
            <w:r>
              <w:rPr>
                <w:sz w:val="28"/>
                <w:szCs w:val="28"/>
              </w:rPr>
              <w:t>年均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368" w:type="dxa"/>
            <w:vAlign w:val="center"/>
          </w:tcPr>
          <w:p>
            <w:pPr>
              <w:jc w:val="center"/>
              <w:rPr>
                <w:sz w:val="28"/>
                <w:szCs w:val="28"/>
              </w:rPr>
            </w:pPr>
            <w:r>
              <w:rPr>
                <w:sz w:val="28"/>
                <w:szCs w:val="28"/>
              </w:rPr>
              <w:t>事故起数</w:t>
            </w:r>
          </w:p>
        </w:tc>
        <w:tc>
          <w:tcPr>
            <w:tcW w:w="1050" w:type="dxa"/>
            <w:vAlign w:val="center"/>
          </w:tcPr>
          <w:p>
            <w:pPr>
              <w:jc w:val="center"/>
              <w:rPr>
                <w:sz w:val="28"/>
                <w:szCs w:val="28"/>
              </w:rPr>
            </w:pPr>
            <w:r>
              <w:rPr>
                <w:sz w:val="28"/>
                <w:szCs w:val="28"/>
              </w:rPr>
              <w:t>340</w:t>
            </w:r>
          </w:p>
        </w:tc>
        <w:tc>
          <w:tcPr>
            <w:tcW w:w="1552" w:type="dxa"/>
            <w:vAlign w:val="center"/>
          </w:tcPr>
          <w:p>
            <w:pPr>
              <w:jc w:val="center"/>
              <w:rPr>
                <w:sz w:val="28"/>
                <w:szCs w:val="28"/>
              </w:rPr>
            </w:pPr>
            <w:r>
              <w:rPr>
                <w:sz w:val="28"/>
                <w:szCs w:val="28"/>
              </w:rPr>
              <w:t>332</w:t>
            </w:r>
          </w:p>
        </w:tc>
        <w:tc>
          <w:tcPr>
            <w:tcW w:w="1192" w:type="dxa"/>
            <w:vAlign w:val="center"/>
          </w:tcPr>
          <w:p>
            <w:pPr>
              <w:jc w:val="center"/>
              <w:rPr>
                <w:sz w:val="28"/>
                <w:szCs w:val="28"/>
              </w:rPr>
            </w:pPr>
            <w:r>
              <w:rPr>
                <w:sz w:val="28"/>
                <w:szCs w:val="28"/>
              </w:rPr>
              <w:t>546</w:t>
            </w:r>
          </w:p>
        </w:tc>
        <w:tc>
          <w:tcPr>
            <w:tcW w:w="1139" w:type="dxa"/>
            <w:vAlign w:val="center"/>
          </w:tcPr>
          <w:p>
            <w:pPr>
              <w:jc w:val="center"/>
              <w:rPr>
                <w:sz w:val="28"/>
                <w:szCs w:val="28"/>
              </w:rPr>
            </w:pPr>
            <w:r>
              <w:rPr>
                <w:sz w:val="28"/>
                <w:szCs w:val="28"/>
              </w:rPr>
              <w:t>1323</w:t>
            </w:r>
          </w:p>
        </w:tc>
        <w:tc>
          <w:tcPr>
            <w:tcW w:w="1170" w:type="dxa"/>
            <w:vAlign w:val="center"/>
          </w:tcPr>
          <w:p>
            <w:pPr>
              <w:jc w:val="center"/>
              <w:rPr>
                <w:sz w:val="28"/>
                <w:szCs w:val="28"/>
              </w:rPr>
            </w:pPr>
            <w:r>
              <w:rPr>
                <w:sz w:val="28"/>
                <w:szCs w:val="28"/>
              </w:rPr>
              <w:t>963</w:t>
            </w:r>
          </w:p>
        </w:tc>
        <w:tc>
          <w:tcPr>
            <w:tcW w:w="896" w:type="dxa"/>
            <w:vAlign w:val="center"/>
          </w:tcPr>
          <w:p>
            <w:pPr>
              <w:jc w:val="center"/>
              <w:rPr>
                <w:sz w:val="28"/>
                <w:szCs w:val="28"/>
              </w:rPr>
            </w:pPr>
            <w:r>
              <w:rPr>
                <w:sz w:val="28"/>
                <w:szCs w:val="28"/>
              </w:rPr>
              <w:t>3504</w:t>
            </w:r>
          </w:p>
        </w:tc>
        <w:tc>
          <w:tcPr>
            <w:tcW w:w="812" w:type="dxa"/>
            <w:vAlign w:val="center"/>
          </w:tcPr>
          <w:p>
            <w:pPr>
              <w:jc w:val="center"/>
              <w:rPr>
                <w:sz w:val="28"/>
                <w:szCs w:val="28"/>
              </w:rPr>
            </w:pPr>
            <w:r>
              <w:rPr>
                <w:sz w:val="28"/>
                <w:szCs w:val="28"/>
              </w:rPr>
              <w:t>701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368" w:type="dxa"/>
            <w:vAlign w:val="center"/>
          </w:tcPr>
          <w:p>
            <w:pPr>
              <w:jc w:val="center"/>
              <w:rPr>
                <w:sz w:val="28"/>
                <w:szCs w:val="28"/>
              </w:rPr>
            </w:pPr>
            <w:r>
              <w:rPr>
                <w:sz w:val="28"/>
                <w:szCs w:val="28"/>
              </w:rPr>
              <w:t>死亡人数</w:t>
            </w:r>
          </w:p>
        </w:tc>
        <w:tc>
          <w:tcPr>
            <w:tcW w:w="1050" w:type="dxa"/>
            <w:vAlign w:val="center"/>
          </w:tcPr>
          <w:p>
            <w:pPr>
              <w:jc w:val="center"/>
              <w:rPr>
                <w:sz w:val="28"/>
                <w:szCs w:val="28"/>
              </w:rPr>
            </w:pPr>
            <w:r>
              <w:rPr>
                <w:sz w:val="28"/>
                <w:szCs w:val="28"/>
              </w:rPr>
              <w:t>252</w:t>
            </w:r>
          </w:p>
        </w:tc>
        <w:tc>
          <w:tcPr>
            <w:tcW w:w="1552" w:type="dxa"/>
            <w:vAlign w:val="center"/>
          </w:tcPr>
          <w:p>
            <w:pPr>
              <w:jc w:val="center"/>
              <w:rPr>
                <w:sz w:val="28"/>
                <w:szCs w:val="28"/>
              </w:rPr>
            </w:pPr>
            <w:r>
              <w:rPr>
                <w:sz w:val="28"/>
                <w:szCs w:val="28"/>
              </w:rPr>
              <w:t>197</w:t>
            </w:r>
          </w:p>
        </w:tc>
        <w:tc>
          <w:tcPr>
            <w:tcW w:w="1192" w:type="dxa"/>
            <w:vAlign w:val="center"/>
          </w:tcPr>
          <w:p>
            <w:pPr>
              <w:jc w:val="center"/>
              <w:rPr>
                <w:sz w:val="28"/>
                <w:szCs w:val="28"/>
              </w:rPr>
            </w:pPr>
            <w:r>
              <w:rPr>
                <w:sz w:val="28"/>
                <w:szCs w:val="28"/>
              </w:rPr>
              <w:t>179</w:t>
            </w:r>
          </w:p>
        </w:tc>
        <w:tc>
          <w:tcPr>
            <w:tcW w:w="1139" w:type="dxa"/>
            <w:vAlign w:val="center"/>
          </w:tcPr>
          <w:p>
            <w:pPr>
              <w:jc w:val="center"/>
              <w:rPr>
                <w:sz w:val="28"/>
                <w:szCs w:val="28"/>
              </w:rPr>
            </w:pPr>
            <w:r>
              <w:rPr>
                <w:sz w:val="28"/>
                <w:szCs w:val="28"/>
              </w:rPr>
              <w:t>401</w:t>
            </w:r>
          </w:p>
        </w:tc>
        <w:tc>
          <w:tcPr>
            <w:tcW w:w="1170" w:type="dxa"/>
            <w:vAlign w:val="center"/>
          </w:tcPr>
          <w:p>
            <w:pPr>
              <w:jc w:val="center"/>
              <w:rPr>
                <w:sz w:val="28"/>
                <w:szCs w:val="28"/>
              </w:rPr>
            </w:pPr>
            <w:r>
              <w:rPr>
                <w:sz w:val="28"/>
                <w:szCs w:val="28"/>
              </w:rPr>
              <w:t>364</w:t>
            </w:r>
          </w:p>
        </w:tc>
        <w:tc>
          <w:tcPr>
            <w:tcW w:w="896" w:type="dxa"/>
            <w:vAlign w:val="center"/>
          </w:tcPr>
          <w:p>
            <w:pPr>
              <w:jc w:val="center"/>
              <w:rPr>
                <w:sz w:val="28"/>
                <w:szCs w:val="28"/>
              </w:rPr>
            </w:pPr>
            <w:r>
              <w:rPr>
                <w:sz w:val="28"/>
                <w:szCs w:val="28"/>
              </w:rPr>
              <w:t>1393</w:t>
            </w:r>
          </w:p>
        </w:tc>
        <w:tc>
          <w:tcPr>
            <w:tcW w:w="812" w:type="dxa"/>
            <w:vAlign w:val="center"/>
          </w:tcPr>
          <w:p>
            <w:pPr>
              <w:jc w:val="center"/>
              <w:rPr>
                <w:sz w:val="28"/>
                <w:szCs w:val="28"/>
              </w:rPr>
            </w:pPr>
            <w:r>
              <w:rPr>
                <w:sz w:val="28"/>
                <w:szCs w:val="28"/>
              </w:rPr>
              <w:t>279</w:t>
            </w:r>
          </w:p>
        </w:tc>
      </w:tr>
    </w:tbl>
    <w:p>
      <w:pPr>
        <w:spacing w:line="400" w:lineRule="exact"/>
        <w:ind w:firstLine="640" w:firstLineChars="200"/>
        <w:rPr>
          <w:szCs w:val="32"/>
        </w:rPr>
      </w:pPr>
    </w:p>
    <w:p>
      <w:pPr>
        <w:jc w:val="center"/>
        <w:rPr>
          <w:b/>
          <w:szCs w:val="32"/>
        </w:rPr>
      </w:pPr>
      <w:r>
        <w:rPr>
          <w:b/>
          <w:szCs w:val="32"/>
        </w:rPr>
        <w:t>表2：2011年——2015年全市较大、重大事故情况表</w:t>
      </w:r>
    </w:p>
    <w:tbl>
      <w:tblPr>
        <w:tblStyle w:val="3"/>
        <w:tblW w:w="0" w:type="auto"/>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1260"/>
        <w:gridCol w:w="1082"/>
        <w:gridCol w:w="1176"/>
        <w:gridCol w:w="1176"/>
        <w:gridCol w:w="1161"/>
        <w:gridCol w:w="1190"/>
        <w:gridCol w:w="784"/>
        <w:gridCol w:w="8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2160" w:type="dxa"/>
            <w:gridSpan w:val="2"/>
            <w:vAlign w:val="center"/>
          </w:tcPr>
          <w:p>
            <w:pPr>
              <w:spacing w:line="520" w:lineRule="exact"/>
              <w:jc w:val="center"/>
              <w:rPr>
                <w:sz w:val="28"/>
                <w:szCs w:val="28"/>
              </w:rPr>
            </w:pPr>
            <w:r>
              <w:rPr>
                <w:sz w:val="28"/>
                <w:szCs w:val="28"/>
              </w:rPr>
              <w:t>项</w:t>
            </w:r>
            <w:r>
              <w:rPr>
                <w:rFonts w:hint="eastAsia"/>
                <w:sz w:val="28"/>
                <w:szCs w:val="28"/>
              </w:rPr>
              <w:t xml:space="preserve">  </w:t>
            </w:r>
            <w:r>
              <w:rPr>
                <w:sz w:val="28"/>
                <w:szCs w:val="28"/>
              </w:rPr>
              <w:t>目</w:t>
            </w:r>
          </w:p>
        </w:tc>
        <w:tc>
          <w:tcPr>
            <w:tcW w:w="1082" w:type="dxa"/>
            <w:vAlign w:val="center"/>
          </w:tcPr>
          <w:p>
            <w:pPr>
              <w:spacing w:line="520" w:lineRule="exact"/>
              <w:jc w:val="center"/>
              <w:rPr>
                <w:sz w:val="28"/>
                <w:szCs w:val="28"/>
              </w:rPr>
            </w:pPr>
            <w:r>
              <w:rPr>
                <w:sz w:val="28"/>
                <w:szCs w:val="28"/>
              </w:rPr>
              <w:t>2011年</w:t>
            </w:r>
          </w:p>
        </w:tc>
        <w:tc>
          <w:tcPr>
            <w:tcW w:w="1176" w:type="dxa"/>
            <w:vAlign w:val="center"/>
          </w:tcPr>
          <w:p>
            <w:pPr>
              <w:spacing w:line="520" w:lineRule="exact"/>
              <w:jc w:val="center"/>
              <w:rPr>
                <w:sz w:val="28"/>
                <w:szCs w:val="28"/>
              </w:rPr>
            </w:pPr>
            <w:r>
              <w:rPr>
                <w:sz w:val="28"/>
                <w:szCs w:val="28"/>
              </w:rPr>
              <w:t>2012年</w:t>
            </w:r>
          </w:p>
        </w:tc>
        <w:tc>
          <w:tcPr>
            <w:tcW w:w="1176" w:type="dxa"/>
            <w:vAlign w:val="center"/>
          </w:tcPr>
          <w:p>
            <w:pPr>
              <w:spacing w:line="520" w:lineRule="exact"/>
              <w:jc w:val="center"/>
              <w:rPr>
                <w:sz w:val="28"/>
                <w:szCs w:val="28"/>
              </w:rPr>
            </w:pPr>
            <w:r>
              <w:rPr>
                <w:sz w:val="28"/>
                <w:szCs w:val="28"/>
              </w:rPr>
              <w:t>2013年</w:t>
            </w:r>
          </w:p>
        </w:tc>
        <w:tc>
          <w:tcPr>
            <w:tcW w:w="1161" w:type="dxa"/>
            <w:vAlign w:val="center"/>
          </w:tcPr>
          <w:p>
            <w:pPr>
              <w:spacing w:line="520" w:lineRule="exact"/>
              <w:jc w:val="center"/>
              <w:rPr>
                <w:sz w:val="28"/>
                <w:szCs w:val="28"/>
              </w:rPr>
            </w:pPr>
            <w:r>
              <w:rPr>
                <w:sz w:val="28"/>
                <w:szCs w:val="28"/>
              </w:rPr>
              <w:t>2014年</w:t>
            </w:r>
          </w:p>
        </w:tc>
        <w:tc>
          <w:tcPr>
            <w:tcW w:w="1190" w:type="dxa"/>
            <w:vAlign w:val="center"/>
          </w:tcPr>
          <w:p>
            <w:pPr>
              <w:spacing w:line="520" w:lineRule="exact"/>
              <w:jc w:val="center"/>
              <w:rPr>
                <w:sz w:val="28"/>
                <w:szCs w:val="28"/>
              </w:rPr>
            </w:pPr>
            <w:r>
              <w:rPr>
                <w:sz w:val="28"/>
                <w:szCs w:val="28"/>
              </w:rPr>
              <w:t>2015年</w:t>
            </w:r>
          </w:p>
        </w:tc>
        <w:tc>
          <w:tcPr>
            <w:tcW w:w="784" w:type="dxa"/>
            <w:vAlign w:val="center"/>
          </w:tcPr>
          <w:p>
            <w:pPr>
              <w:spacing w:line="520" w:lineRule="exact"/>
              <w:jc w:val="center"/>
              <w:rPr>
                <w:sz w:val="28"/>
                <w:szCs w:val="28"/>
              </w:rPr>
            </w:pPr>
            <w:r>
              <w:rPr>
                <w:sz w:val="28"/>
                <w:szCs w:val="28"/>
              </w:rPr>
              <w:t>合计</w:t>
            </w:r>
          </w:p>
        </w:tc>
        <w:tc>
          <w:tcPr>
            <w:tcW w:w="868" w:type="dxa"/>
            <w:vAlign w:val="center"/>
          </w:tcPr>
          <w:p>
            <w:pPr>
              <w:spacing w:line="520" w:lineRule="exact"/>
              <w:jc w:val="center"/>
              <w:rPr>
                <w:sz w:val="28"/>
                <w:szCs w:val="28"/>
              </w:rPr>
            </w:pPr>
            <w:r>
              <w:rPr>
                <w:sz w:val="28"/>
                <w:szCs w:val="28"/>
              </w:rPr>
              <w:t>年均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 w:hRule="atLeast"/>
        </w:trPr>
        <w:tc>
          <w:tcPr>
            <w:tcW w:w="900" w:type="dxa"/>
            <w:vMerge w:val="restart"/>
            <w:vAlign w:val="center"/>
          </w:tcPr>
          <w:p>
            <w:pPr>
              <w:spacing w:line="520" w:lineRule="exact"/>
              <w:jc w:val="center"/>
              <w:rPr>
                <w:sz w:val="28"/>
                <w:szCs w:val="28"/>
              </w:rPr>
            </w:pPr>
            <w:r>
              <w:rPr>
                <w:sz w:val="28"/>
                <w:szCs w:val="28"/>
              </w:rPr>
              <w:t>较大</w:t>
            </w:r>
          </w:p>
          <w:p>
            <w:pPr>
              <w:spacing w:line="520" w:lineRule="exact"/>
              <w:jc w:val="center"/>
              <w:rPr>
                <w:sz w:val="28"/>
                <w:szCs w:val="28"/>
              </w:rPr>
            </w:pPr>
            <w:r>
              <w:rPr>
                <w:sz w:val="28"/>
                <w:szCs w:val="28"/>
              </w:rPr>
              <w:t>事故</w:t>
            </w:r>
          </w:p>
        </w:tc>
        <w:tc>
          <w:tcPr>
            <w:tcW w:w="1260" w:type="dxa"/>
            <w:vAlign w:val="center"/>
          </w:tcPr>
          <w:p>
            <w:pPr>
              <w:spacing w:line="520" w:lineRule="exact"/>
              <w:jc w:val="center"/>
              <w:rPr>
                <w:sz w:val="28"/>
                <w:szCs w:val="28"/>
              </w:rPr>
            </w:pPr>
            <w:r>
              <w:rPr>
                <w:sz w:val="28"/>
                <w:szCs w:val="28"/>
              </w:rPr>
              <w:t>起  数</w:t>
            </w:r>
          </w:p>
        </w:tc>
        <w:tc>
          <w:tcPr>
            <w:tcW w:w="1082" w:type="dxa"/>
            <w:vAlign w:val="center"/>
          </w:tcPr>
          <w:p>
            <w:pPr>
              <w:spacing w:line="520" w:lineRule="exact"/>
              <w:jc w:val="center"/>
              <w:rPr>
                <w:sz w:val="28"/>
                <w:szCs w:val="28"/>
              </w:rPr>
            </w:pPr>
            <w:r>
              <w:rPr>
                <w:sz w:val="28"/>
                <w:szCs w:val="28"/>
              </w:rPr>
              <w:t>8</w:t>
            </w:r>
          </w:p>
        </w:tc>
        <w:tc>
          <w:tcPr>
            <w:tcW w:w="1176" w:type="dxa"/>
            <w:vAlign w:val="center"/>
          </w:tcPr>
          <w:p>
            <w:pPr>
              <w:spacing w:line="520" w:lineRule="exact"/>
              <w:jc w:val="center"/>
              <w:rPr>
                <w:sz w:val="28"/>
                <w:szCs w:val="28"/>
              </w:rPr>
            </w:pPr>
            <w:r>
              <w:rPr>
                <w:sz w:val="28"/>
                <w:szCs w:val="28"/>
              </w:rPr>
              <w:t>6</w:t>
            </w:r>
          </w:p>
        </w:tc>
        <w:tc>
          <w:tcPr>
            <w:tcW w:w="1176" w:type="dxa"/>
            <w:vAlign w:val="center"/>
          </w:tcPr>
          <w:p>
            <w:pPr>
              <w:spacing w:line="520" w:lineRule="exact"/>
              <w:jc w:val="center"/>
              <w:rPr>
                <w:sz w:val="28"/>
                <w:szCs w:val="28"/>
              </w:rPr>
            </w:pPr>
            <w:r>
              <w:rPr>
                <w:sz w:val="28"/>
                <w:szCs w:val="28"/>
              </w:rPr>
              <w:t>2</w:t>
            </w:r>
          </w:p>
        </w:tc>
        <w:tc>
          <w:tcPr>
            <w:tcW w:w="1161" w:type="dxa"/>
            <w:vAlign w:val="center"/>
          </w:tcPr>
          <w:p>
            <w:pPr>
              <w:spacing w:line="520" w:lineRule="exact"/>
              <w:jc w:val="center"/>
              <w:rPr>
                <w:sz w:val="28"/>
                <w:szCs w:val="28"/>
              </w:rPr>
            </w:pPr>
            <w:r>
              <w:rPr>
                <w:sz w:val="28"/>
                <w:szCs w:val="28"/>
              </w:rPr>
              <w:t>10</w:t>
            </w:r>
          </w:p>
        </w:tc>
        <w:tc>
          <w:tcPr>
            <w:tcW w:w="1190" w:type="dxa"/>
            <w:vAlign w:val="center"/>
          </w:tcPr>
          <w:p>
            <w:pPr>
              <w:spacing w:line="520" w:lineRule="exact"/>
              <w:jc w:val="center"/>
              <w:rPr>
                <w:sz w:val="28"/>
                <w:szCs w:val="28"/>
              </w:rPr>
            </w:pPr>
            <w:r>
              <w:rPr>
                <w:sz w:val="28"/>
                <w:szCs w:val="28"/>
              </w:rPr>
              <w:t>6</w:t>
            </w:r>
          </w:p>
        </w:tc>
        <w:tc>
          <w:tcPr>
            <w:tcW w:w="784" w:type="dxa"/>
            <w:vAlign w:val="center"/>
          </w:tcPr>
          <w:p>
            <w:pPr>
              <w:spacing w:line="520" w:lineRule="exact"/>
              <w:jc w:val="center"/>
              <w:rPr>
                <w:sz w:val="28"/>
                <w:szCs w:val="28"/>
              </w:rPr>
            </w:pPr>
            <w:r>
              <w:rPr>
                <w:sz w:val="28"/>
                <w:szCs w:val="28"/>
              </w:rPr>
              <w:t>32</w:t>
            </w:r>
          </w:p>
        </w:tc>
        <w:tc>
          <w:tcPr>
            <w:tcW w:w="868" w:type="dxa"/>
            <w:vAlign w:val="center"/>
          </w:tcPr>
          <w:p>
            <w:pPr>
              <w:spacing w:line="520" w:lineRule="exact"/>
              <w:jc w:val="center"/>
              <w:rPr>
                <w:sz w:val="28"/>
                <w:szCs w:val="28"/>
              </w:rPr>
            </w:pPr>
            <w:r>
              <w:rPr>
                <w:sz w:val="28"/>
                <w:szCs w:val="28"/>
              </w:rPr>
              <w:t>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900" w:type="dxa"/>
            <w:vMerge w:val="continue"/>
            <w:vAlign w:val="center"/>
          </w:tcPr>
          <w:p>
            <w:pPr>
              <w:spacing w:line="520" w:lineRule="exact"/>
              <w:jc w:val="center"/>
              <w:rPr>
                <w:sz w:val="28"/>
                <w:szCs w:val="28"/>
              </w:rPr>
            </w:pPr>
          </w:p>
        </w:tc>
        <w:tc>
          <w:tcPr>
            <w:tcW w:w="1260" w:type="dxa"/>
            <w:vAlign w:val="center"/>
          </w:tcPr>
          <w:p>
            <w:pPr>
              <w:spacing w:line="520" w:lineRule="exact"/>
              <w:jc w:val="center"/>
              <w:rPr>
                <w:sz w:val="28"/>
                <w:szCs w:val="28"/>
              </w:rPr>
            </w:pPr>
            <w:r>
              <w:rPr>
                <w:sz w:val="28"/>
                <w:szCs w:val="28"/>
              </w:rPr>
              <w:t>死亡数</w:t>
            </w:r>
          </w:p>
        </w:tc>
        <w:tc>
          <w:tcPr>
            <w:tcW w:w="1082" w:type="dxa"/>
            <w:vAlign w:val="center"/>
          </w:tcPr>
          <w:p>
            <w:pPr>
              <w:spacing w:line="520" w:lineRule="exact"/>
              <w:jc w:val="center"/>
              <w:rPr>
                <w:sz w:val="28"/>
                <w:szCs w:val="28"/>
              </w:rPr>
            </w:pPr>
            <w:r>
              <w:rPr>
                <w:sz w:val="28"/>
                <w:szCs w:val="28"/>
              </w:rPr>
              <w:t>40</w:t>
            </w:r>
          </w:p>
        </w:tc>
        <w:tc>
          <w:tcPr>
            <w:tcW w:w="1176" w:type="dxa"/>
            <w:vAlign w:val="center"/>
          </w:tcPr>
          <w:p>
            <w:pPr>
              <w:spacing w:line="520" w:lineRule="exact"/>
              <w:jc w:val="center"/>
              <w:rPr>
                <w:sz w:val="28"/>
                <w:szCs w:val="28"/>
              </w:rPr>
            </w:pPr>
            <w:r>
              <w:rPr>
                <w:sz w:val="28"/>
                <w:szCs w:val="28"/>
              </w:rPr>
              <w:t>32</w:t>
            </w:r>
          </w:p>
        </w:tc>
        <w:tc>
          <w:tcPr>
            <w:tcW w:w="1176" w:type="dxa"/>
            <w:vAlign w:val="center"/>
          </w:tcPr>
          <w:p>
            <w:pPr>
              <w:spacing w:line="520" w:lineRule="exact"/>
              <w:jc w:val="center"/>
              <w:rPr>
                <w:sz w:val="28"/>
                <w:szCs w:val="28"/>
              </w:rPr>
            </w:pPr>
            <w:r>
              <w:rPr>
                <w:sz w:val="28"/>
                <w:szCs w:val="28"/>
              </w:rPr>
              <w:t>12</w:t>
            </w:r>
          </w:p>
        </w:tc>
        <w:tc>
          <w:tcPr>
            <w:tcW w:w="1161" w:type="dxa"/>
            <w:vAlign w:val="center"/>
          </w:tcPr>
          <w:p>
            <w:pPr>
              <w:spacing w:line="520" w:lineRule="exact"/>
              <w:jc w:val="center"/>
              <w:rPr>
                <w:sz w:val="28"/>
                <w:szCs w:val="28"/>
              </w:rPr>
            </w:pPr>
            <w:r>
              <w:rPr>
                <w:sz w:val="28"/>
                <w:szCs w:val="28"/>
              </w:rPr>
              <w:t>36</w:t>
            </w:r>
          </w:p>
        </w:tc>
        <w:tc>
          <w:tcPr>
            <w:tcW w:w="1190" w:type="dxa"/>
            <w:vAlign w:val="center"/>
          </w:tcPr>
          <w:p>
            <w:pPr>
              <w:spacing w:line="520" w:lineRule="exact"/>
              <w:jc w:val="center"/>
              <w:rPr>
                <w:sz w:val="28"/>
                <w:szCs w:val="28"/>
              </w:rPr>
            </w:pPr>
            <w:r>
              <w:rPr>
                <w:sz w:val="28"/>
                <w:szCs w:val="28"/>
              </w:rPr>
              <w:t>24</w:t>
            </w:r>
          </w:p>
        </w:tc>
        <w:tc>
          <w:tcPr>
            <w:tcW w:w="784" w:type="dxa"/>
            <w:vAlign w:val="center"/>
          </w:tcPr>
          <w:p>
            <w:pPr>
              <w:spacing w:line="520" w:lineRule="exact"/>
              <w:jc w:val="center"/>
              <w:rPr>
                <w:sz w:val="28"/>
                <w:szCs w:val="28"/>
              </w:rPr>
            </w:pPr>
            <w:r>
              <w:rPr>
                <w:sz w:val="28"/>
                <w:szCs w:val="28"/>
              </w:rPr>
              <w:t>144</w:t>
            </w:r>
          </w:p>
        </w:tc>
        <w:tc>
          <w:tcPr>
            <w:tcW w:w="868" w:type="dxa"/>
            <w:vAlign w:val="center"/>
          </w:tcPr>
          <w:p>
            <w:pPr>
              <w:spacing w:line="520" w:lineRule="exact"/>
              <w:jc w:val="center"/>
              <w:rPr>
                <w:sz w:val="28"/>
                <w:szCs w:val="28"/>
              </w:rPr>
            </w:pPr>
            <w:r>
              <w:rPr>
                <w:sz w:val="28"/>
                <w:szCs w:val="28"/>
              </w:rPr>
              <w:t>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trPr>
        <w:tc>
          <w:tcPr>
            <w:tcW w:w="900" w:type="dxa"/>
            <w:vMerge w:val="restart"/>
            <w:vAlign w:val="center"/>
          </w:tcPr>
          <w:p>
            <w:pPr>
              <w:spacing w:line="520" w:lineRule="exact"/>
              <w:jc w:val="center"/>
              <w:rPr>
                <w:sz w:val="28"/>
                <w:szCs w:val="28"/>
              </w:rPr>
            </w:pPr>
            <w:r>
              <w:rPr>
                <w:sz w:val="28"/>
                <w:szCs w:val="28"/>
              </w:rPr>
              <w:t>重大</w:t>
            </w:r>
          </w:p>
          <w:p>
            <w:pPr>
              <w:spacing w:line="520" w:lineRule="exact"/>
              <w:jc w:val="center"/>
              <w:rPr>
                <w:sz w:val="28"/>
                <w:szCs w:val="28"/>
              </w:rPr>
            </w:pPr>
            <w:r>
              <w:rPr>
                <w:sz w:val="28"/>
                <w:szCs w:val="28"/>
              </w:rPr>
              <w:t>事故</w:t>
            </w:r>
          </w:p>
        </w:tc>
        <w:tc>
          <w:tcPr>
            <w:tcW w:w="1260" w:type="dxa"/>
            <w:vAlign w:val="center"/>
          </w:tcPr>
          <w:p>
            <w:pPr>
              <w:spacing w:line="520" w:lineRule="exact"/>
              <w:jc w:val="center"/>
              <w:rPr>
                <w:sz w:val="28"/>
                <w:szCs w:val="28"/>
              </w:rPr>
            </w:pPr>
            <w:r>
              <w:rPr>
                <w:sz w:val="28"/>
                <w:szCs w:val="28"/>
              </w:rPr>
              <w:t>起  数</w:t>
            </w:r>
          </w:p>
        </w:tc>
        <w:tc>
          <w:tcPr>
            <w:tcW w:w="1082" w:type="dxa"/>
            <w:vAlign w:val="center"/>
          </w:tcPr>
          <w:p>
            <w:pPr>
              <w:spacing w:line="520" w:lineRule="exact"/>
              <w:jc w:val="center"/>
              <w:rPr>
                <w:sz w:val="28"/>
                <w:szCs w:val="28"/>
              </w:rPr>
            </w:pPr>
            <w:r>
              <w:rPr>
                <w:sz w:val="28"/>
                <w:szCs w:val="28"/>
              </w:rPr>
              <w:t>2</w:t>
            </w:r>
          </w:p>
        </w:tc>
        <w:tc>
          <w:tcPr>
            <w:tcW w:w="1176" w:type="dxa"/>
            <w:vAlign w:val="center"/>
          </w:tcPr>
          <w:p>
            <w:pPr>
              <w:spacing w:line="520" w:lineRule="exact"/>
              <w:jc w:val="center"/>
              <w:rPr>
                <w:sz w:val="28"/>
                <w:szCs w:val="28"/>
              </w:rPr>
            </w:pPr>
            <w:r>
              <w:rPr>
                <w:sz w:val="28"/>
                <w:szCs w:val="28"/>
              </w:rPr>
              <w:t>1</w:t>
            </w:r>
          </w:p>
        </w:tc>
        <w:tc>
          <w:tcPr>
            <w:tcW w:w="1176" w:type="dxa"/>
            <w:vAlign w:val="center"/>
          </w:tcPr>
          <w:p>
            <w:pPr>
              <w:spacing w:line="520" w:lineRule="exact"/>
              <w:jc w:val="center"/>
              <w:rPr>
                <w:sz w:val="28"/>
                <w:szCs w:val="28"/>
              </w:rPr>
            </w:pPr>
            <w:r>
              <w:rPr>
                <w:sz w:val="28"/>
                <w:szCs w:val="28"/>
              </w:rPr>
              <w:t>1</w:t>
            </w:r>
          </w:p>
        </w:tc>
        <w:tc>
          <w:tcPr>
            <w:tcW w:w="1161" w:type="dxa"/>
            <w:vAlign w:val="center"/>
          </w:tcPr>
          <w:p>
            <w:pPr>
              <w:spacing w:line="520" w:lineRule="exact"/>
              <w:jc w:val="center"/>
              <w:rPr>
                <w:sz w:val="28"/>
                <w:szCs w:val="28"/>
              </w:rPr>
            </w:pPr>
            <w:r>
              <w:rPr>
                <w:sz w:val="28"/>
                <w:szCs w:val="28"/>
              </w:rPr>
              <w:t>2</w:t>
            </w:r>
          </w:p>
        </w:tc>
        <w:tc>
          <w:tcPr>
            <w:tcW w:w="1190" w:type="dxa"/>
            <w:vAlign w:val="center"/>
          </w:tcPr>
          <w:p>
            <w:pPr>
              <w:spacing w:line="520" w:lineRule="exact"/>
              <w:jc w:val="center"/>
              <w:rPr>
                <w:sz w:val="28"/>
                <w:szCs w:val="28"/>
              </w:rPr>
            </w:pPr>
            <w:r>
              <w:rPr>
                <w:sz w:val="28"/>
                <w:szCs w:val="28"/>
              </w:rPr>
              <w:t>0</w:t>
            </w:r>
          </w:p>
        </w:tc>
        <w:tc>
          <w:tcPr>
            <w:tcW w:w="784" w:type="dxa"/>
            <w:vAlign w:val="center"/>
          </w:tcPr>
          <w:p>
            <w:pPr>
              <w:spacing w:line="520" w:lineRule="exact"/>
              <w:jc w:val="center"/>
              <w:rPr>
                <w:sz w:val="28"/>
                <w:szCs w:val="28"/>
              </w:rPr>
            </w:pPr>
            <w:r>
              <w:rPr>
                <w:sz w:val="28"/>
                <w:szCs w:val="28"/>
              </w:rPr>
              <w:t>6</w:t>
            </w:r>
          </w:p>
        </w:tc>
        <w:tc>
          <w:tcPr>
            <w:tcW w:w="868" w:type="dxa"/>
            <w:vAlign w:val="center"/>
          </w:tcPr>
          <w:p>
            <w:pPr>
              <w:spacing w:line="520" w:lineRule="exact"/>
              <w:jc w:val="center"/>
              <w:rPr>
                <w:sz w:val="28"/>
                <w:szCs w:val="28"/>
              </w:rPr>
            </w:pPr>
            <w:r>
              <w:rPr>
                <w:sz w:val="28"/>
                <w:szCs w:val="28"/>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900" w:type="dxa"/>
            <w:vMerge w:val="continue"/>
            <w:vAlign w:val="center"/>
          </w:tcPr>
          <w:p>
            <w:pPr>
              <w:spacing w:line="520" w:lineRule="exact"/>
              <w:jc w:val="center"/>
              <w:rPr>
                <w:sz w:val="28"/>
                <w:szCs w:val="28"/>
              </w:rPr>
            </w:pPr>
          </w:p>
        </w:tc>
        <w:tc>
          <w:tcPr>
            <w:tcW w:w="1260" w:type="dxa"/>
            <w:vAlign w:val="center"/>
          </w:tcPr>
          <w:p>
            <w:pPr>
              <w:spacing w:line="520" w:lineRule="exact"/>
              <w:jc w:val="center"/>
              <w:rPr>
                <w:sz w:val="28"/>
                <w:szCs w:val="28"/>
              </w:rPr>
            </w:pPr>
            <w:r>
              <w:rPr>
                <w:sz w:val="28"/>
                <w:szCs w:val="28"/>
              </w:rPr>
              <w:t>死亡数</w:t>
            </w:r>
          </w:p>
        </w:tc>
        <w:tc>
          <w:tcPr>
            <w:tcW w:w="1082" w:type="dxa"/>
            <w:vAlign w:val="center"/>
          </w:tcPr>
          <w:p>
            <w:pPr>
              <w:spacing w:line="520" w:lineRule="exact"/>
              <w:jc w:val="center"/>
              <w:rPr>
                <w:sz w:val="28"/>
                <w:szCs w:val="28"/>
              </w:rPr>
            </w:pPr>
            <w:r>
              <w:rPr>
                <w:sz w:val="28"/>
                <w:szCs w:val="28"/>
              </w:rPr>
              <w:t>55</w:t>
            </w:r>
          </w:p>
        </w:tc>
        <w:tc>
          <w:tcPr>
            <w:tcW w:w="1176" w:type="dxa"/>
            <w:vAlign w:val="center"/>
          </w:tcPr>
          <w:p>
            <w:pPr>
              <w:spacing w:line="520" w:lineRule="exact"/>
              <w:jc w:val="center"/>
              <w:rPr>
                <w:sz w:val="28"/>
                <w:szCs w:val="28"/>
              </w:rPr>
            </w:pPr>
            <w:r>
              <w:rPr>
                <w:sz w:val="28"/>
                <w:szCs w:val="28"/>
              </w:rPr>
              <w:t>17</w:t>
            </w:r>
          </w:p>
        </w:tc>
        <w:tc>
          <w:tcPr>
            <w:tcW w:w="1176" w:type="dxa"/>
            <w:vAlign w:val="center"/>
          </w:tcPr>
          <w:p>
            <w:pPr>
              <w:spacing w:line="520" w:lineRule="exact"/>
              <w:jc w:val="center"/>
              <w:rPr>
                <w:sz w:val="28"/>
                <w:szCs w:val="28"/>
              </w:rPr>
            </w:pPr>
            <w:r>
              <w:rPr>
                <w:sz w:val="28"/>
                <w:szCs w:val="28"/>
              </w:rPr>
              <w:t>11</w:t>
            </w:r>
          </w:p>
        </w:tc>
        <w:tc>
          <w:tcPr>
            <w:tcW w:w="1161" w:type="dxa"/>
            <w:vAlign w:val="center"/>
          </w:tcPr>
          <w:p>
            <w:pPr>
              <w:spacing w:line="520" w:lineRule="exact"/>
              <w:jc w:val="center"/>
              <w:rPr>
                <w:sz w:val="28"/>
                <w:szCs w:val="28"/>
              </w:rPr>
            </w:pPr>
            <w:r>
              <w:rPr>
                <w:sz w:val="28"/>
                <w:szCs w:val="28"/>
              </w:rPr>
              <w:t>35</w:t>
            </w:r>
          </w:p>
        </w:tc>
        <w:tc>
          <w:tcPr>
            <w:tcW w:w="1190" w:type="dxa"/>
            <w:vAlign w:val="center"/>
          </w:tcPr>
          <w:p>
            <w:pPr>
              <w:spacing w:line="520" w:lineRule="exact"/>
              <w:jc w:val="center"/>
              <w:rPr>
                <w:sz w:val="28"/>
                <w:szCs w:val="28"/>
              </w:rPr>
            </w:pPr>
            <w:r>
              <w:rPr>
                <w:sz w:val="28"/>
                <w:szCs w:val="28"/>
              </w:rPr>
              <w:t>0</w:t>
            </w:r>
          </w:p>
        </w:tc>
        <w:tc>
          <w:tcPr>
            <w:tcW w:w="784" w:type="dxa"/>
            <w:vAlign w:val="center"/>
          </w:tcPr>
          <w:p>
            <w:pPr>
              <w:spacing w:line="520" w:lineRule="exact"/>
              <w:jc w:val="center"/>
              <w:rPr>
                <w:sz w:val="28"/>
                <w:szCs w:val="28"/>
              </w:rPr>
            </w:pPr>
            <w:r>
              <w:rPr>
                <w:sz w:val="28"/>
                <w:szCs w:val="28"/>
              </w:rPr>
              <w:t>118</w:t>
            </w:r>
          </w:p>
        </w:tc>
        <w:tc>
          <w:tcPr>
            <w:tcW w:w="868" w:type="dxa"/>
            <w:vAlign w:val="center"/>
          </w:tcPr>
          <w:p>
            <w:pPr>
              <w:spacing w:line="520" w:lineRule="exact"/>
              <w:jc w:val="center"/>
              <w:rPr>
                <w:sz w:val="28"/>
                <w:szCs w:val="28"/>
              </w:rPr>
            </w:pPr>
            <w:r>
              <w:rPr>
                <w:sz w:val="28"/>
                <w:szCs w:val="28"/>
              </w:rPr>
              <w:t>24</w:t>
            </w:r>
          </w:p>
        </w:tc>
      </w:tr>
    </w:tbl>
    <w:p>
      <w:pPr>
        <w:spacing w:line="400" w:lineRule="exact"/>
        <w:ind w:firstLine="640" w:firstLineChars="200"/>
        <w:rPr>
          <w:szCs w:val="32"/>
        </w:rPr>
      </w:pPr>
    </w:p>
    <w:p>
      <w:pPr>
        <w:spacing w:line="400" w:lineRule="exact"/>
        <w:ind w:firstLine="640" w:firstLineChars="200"/>
        <w:rPr>
          <w:b/>
          <w:szCs w:val="32"/>
        </w:rPr>
      </w:pPr>
      <w:r>
        <w:rPr>
          <w:b/>
          <w:szCs w:val="32"/>
        </w:rPr>
        <w:t>表3:2011年—2015年各重点行业领域事故情况</w:t>
      </w:r>
    </w:p>
    <w:tbl>
      <w:tblPr>
        <w:tblStyle w:val="3"/>
        <w:tblW w:w="0" w:type="auto"/>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5"/>
        <w:gridCol w:w="899"/>
        <w:gridCol w:w="1136"/>
        <w:gridCol w:w="900"/>
        <w:gridCol w:w="1136"/>
        <w:gridCol w:w="1242"/>
        <w:gridCol w:w="1050"/>
        <w:gridCol w:w="896"/>
        <w:gridCol w:w="8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trPr>
        <w:tc>
          <w:tcPr>
            <w:tcW w:w="1065" w:type="dxa"/>
            <w:vAlign w:val="center"/>
          </w:tcPr>
          <w:p>
            <w:pPr>
              <w:spacing w:line="400" w:lineRule="exact"/>
              <w:jc w:val="center"/>
              <w:rPr>
                <w:sz w:val="28"/>
                <w:szCs w:val="28"/>
              </w:rPr>
            </w:pPr>
            <w:r>
              <w:rPr>
                <w:sz w:val="28"/>
                <w:szCs w:val="28"/>
              </w:rPr>
              <w:t>项</w:t>
            </w:r>
            <w:r>
              <w:rPr>
                <w:rFonts w:hint="eastAsia"/>
                <w:sz w:val="28"/>
                <w:szCs w:val="28"/>
              </w:rPr>
              <w:t xml:space="preserve"> </w:t>
            </w:r>
            <w:r>
              <w:rPr>
                <w:sz w:val="28"/>
                <w:szCs w:val="28"/>
              </w:rPr>
              <w:t>目</w:t>
            </w:r>
          </w:p>
        </w:tc>
        <w:tc>
          <w:tcPr>
            <w:tcW w:w="899" w:type="dxa"/>
            <w:vAlign w:val="center"/>
          </w:tcPr>
          <w:p>
            <w:pPr>
              <w:spacing w:line="400" w:lineRule="exact"/>
              <w:jc w:val="center"/>
              <w:rPr>
                <w:sz w:val="28"/>
                <w:szCs w:val="28"/>
              </w:rPr>
            </w:pPr>
            <w:r>
              <w:rPr>
                <w:sz w:val="28"/>
                <w:szCs w:val="28"/>
              </w:rPr>
              <w:t>煤矿</w:t>
            </w:r>
          </w:p>
        </w:tc>
        <w:tc>
          <w:tcPr>
            <w:tcW w:w="1136" w:type="dxa"/>
            <w:vAlign w:val="center"/>
          </w:tcPr>
          <w:p>
            <w:pPr>
              <w:spacing w:line="400" w:lineRule="exact"/>
              <w:jc w:val="center"/>
              <w:rPr>
                <w:rFonts w:hint="eastAsia"/>
                <w:sz w:val="28"/>
                <w:szCs w:val="28"/>
              </w:rPr>
            </w:pPr>
            <w:r>
              <w:rPr>
                <w:sz w:val="28"/>
                <w:szCs w:val="28"/>
              </w:rPr>
              <w:t>道路</w:t>
            </w:r>
          </w:p>
          <w:p>
            <w:pPr>
              <w:spacing w:line="400" w:lineRule="exact"/>
              <w:jc w:val="center"/>
              <w:rPr>
                <w:sz w:val="28"/>
                <w:szCs w:val="28"/>
              </w:rPr>
            </w:pPr>
            <w:r>
              <w:rPr>
                <w:sz w:val="28"/>
                <w:szCs w:val="28"/>
              </w:rPr>
              <w:t>交通</w:t>
            </w:r>
          </w:p>
        </w:tc>
        <w:tc>
          <w:tcPr>
            <w:tcW w:w="900" w:type="dxa"/>
            <w:vAlign w:val="center"/>
          </w:tcPr>
          <w:p>
            <w:pPr>
              <w:spacing w:line="400" w:lineRule="exact"/>
              <w:jc w:val="center"/>
              <w:rPr>
                <w:rFonts w:hint="eastAsia"/>
                <w:sz w:val="28"/>
                <w:szCs w:val="28"/>
              </w:rPr>
            </w:pPr>
            <w:r>
              <w:rPr>
                <w:sz w:val="28"/>
                <w:szCs w:val="28"/>
              </w:rPr>
              <w:t>非煤</w:t>
            </w:r>
          </w:p>
          <w:p>
            <w:pPr>
              <w:spacing w:line="400" w:lineRule="exact"/>
              <w:jc w:val="center"/>
              <w:rPr>
                <w:sz w:val="28"/>
                <w:szCs w:val="28"/>
              </w:rPr>
            </w:pPr>
            <w:r>
              <w:rPr>
                <w:sz w:val="28"/>
                <w:szCs w:val="28"/>
              </w:rPr>
              <w:t>矿山</w:t>
            </w:r>
          </w:p>
        </w:tc>
        <w:tc>
          <w:tcPr>
            <w:tcW w:w="1136" w:type="dxa"/>
            <w:vAlign w:val="center"/>
          </w:tcPr>
          <w:p>
            <w:pPr>
              <w:spacing w:line="400" w:lineRule="exact"/>
              <w:jc w:val="center"/>
              <w:rPr>
                <w:sz w:val="28"/>
                <w:szCs w:val="28"/>
              </w:rPr>
            </w:pPr>
            <w:r>
              <w:rPr>
                <w:sz w:val="28"/>
                <w:szCs w:val="28"/>
              </w:rPr>
              <w:t>危化品</w:t>
            </w:r>
          </w:p>
        </w:tc>
        <w:tc>
          <w:tcPr>
            <w:tcW w:w="1242" w:type="dxa"/>
            <w:vAlign w:val="center"/>
          </w:tcPr>
          <w:p>
            <w:pPr>
              <w:spacing w:line="400" w:lineRule="exact"/>
              <w:jc w:val="center"/>
              <w:rPr>
                <w:rFonts w:hint="eastAsia"/>
                <w:sz w:val="28"/>
                <w:szCs w:val="28"/>
              </w:rPr>
            </w:pPr>
            <w:r>
              <w:rPr>
                <w:sz w:val="28"/>
                <w:szCs w:val="28"/>
              </w:rPr>
              <w:t>工商贸</w:t>
            </w:r>
          </w:p>
          <w:p>
            <w:pPr>
              <w:spacing w:line="400" w:lineRule="exact"/>
              <w:jc w:val="center"/>
              <w:rPr>
                <w:sz w:val="28"/>
                <w:szCs w:val="28"/>
              </w:rPr>
            </w:pPr>
            <w:r>
              <w:rPr>
                <w:sz w:val="28"/>
                <w:szCs w:val="28"/>
              </w:rPr>
              <w:t>及其他</w:t>
            </w:r>
          </w:p>
        </w:tc>
        <w:tc>
          <w:tcPr>
            <w:tcW w:w="1050" w:type="dxa"/>
            <w:vAlign w:val="center"/>
          </w:tcPr>
          <w:p>
            <w:pPr>
              <w:spacing w:line="400" w:lineRule="exact"/>
              <w:jc w:val="center"/>
              <w:rPr>
                <w:sz w:val="28"/>
                <w:szCs w:val="28"/>
              </w:rPr>
            </w:pPr>
            <w:r>
              <w:rPr>
                <w:sz w:val="28"/>
                <w:szCs w:val="28"/>
              </w:rPr>
              <w:t>建筑业</w:t>
            </w:r>
          </w:p>
        </w:tc>
        <w:tc>
          <w:tcPr>
            <w:tcW w:w="896" w:type="dxa"/>
            <w:vAlign w:val="center"/>
          </w:tcPr>
          <w:p>
            <w:pPr>
              <w:spacing w:line="400" w:lineRule="exact"/>
              <w:jc w:val="center"/>
              <w:rPr>
                <w:rFonts w:hint="eastAsia"/>
                <w:sz w:val="28"/>
                <w:szCs w:val="28"/>
              </w:rPr>
            </w:pPr>
            <w:r>
              <w:rPr>
                <w:sz w:val="28"/>
                <w:szCs w:val="28"/>
              </w:rPr>
              <w:t>消防</w:t>
            </w:r>
          </w:p>
          <w:p>
            <w:pPr>
              <w:spacing w:line="400" w:lineRule="exact"/>
              <w:jc w:val="center"/>
              <w:rPr>
                <w:sz w:val="28"/>
                <w:szCs w:val="28"/>
              </w:rPr>
            </w:pPr>
            <w:r>
              <w:rPr>
                <w:sz w:val="28"/>
                <w:szCs w:val="28"/>
              </w:rPr>
              <w:t>火灾</w:t>
            </w:r>
          </w:p>
        </w:tc>
        <w:tc>
          <w:tcPr>
            <w:tcW w:w="868" w:type="dxa"/>
            <w:vAlign w:val="center"/>
          </w:tcPr>
          <w:p>
            <w:pPr>
              <w:spacing w:line="400" w:lineRule="exact"/>
              <w:jc w:val="center"/>
              <w:rPr>
                <w:rFonts w:hint="eastAsia"/>
                <w:sz w:val="28"/>
                <w:szCs w:val="28"/>
              </w:rPr>
            </w:pPr>
            <w:r>
              <w:rPr>
                <w:sz w:val="28"/>
                <w:szCs w:val="28"/>
              </w:rPr>
              <w:t>农业</w:t>
            </w:r>
          </w:p>
          <w:p>
            <w:pPr>
              <w:spacing w:line="400" w:lineRule="exact"/>
              <w:jc w:val="center"/>
              <w:rPr>
                <w:sz w:val="28"/>
                <w:szCs w:val="28"/>
              </w:rPr>
            </w:pPr>
            <w:r>
              <w:rPr>
                <w:sz w:val="28"/>
                <w:szCs w:val="28"/>
              </w:rPr>
              <w:t>机械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trPr>
        <w:tc>
          <w:tcPr>
            <w:tcW w:w="1065" w:type="dxa"/>
            <w:vAlign w:val="center"/>
          </w:tcPr>
          <w:p>
            <w:pPr>
              <w:spacing w:line="400" w:lineRule="exact"/>
              <w:jc w:val="center"/>
              <w:rPr>
                <w:rFonts w:hint="eastAsia"/>
                <w:sz w:val="28"/>
                <w:szCs w:val="28"/>
              </w:rPr>
            </w:pPr>
            <w:r>
              <w:rPr>
                <w:sz w:val="28"/>
                <w:szCs w:val="28"/>
              </w:rPr>
              <w:t>事故</w:t>
            </w:r>
          </w:p>
          <w:p>
            <w:pPr>
              <w:spacing w:line="400" w:lineRule="exact"/>
              <w:jc w:val="center"/>
              <w:rPr>
                <w:sz w:val="28"/>
                <w:szCs w:val="28"/>
              </w:rPr>
            </w:pPr>
            <w:r>
              <w:rPr>
                <w:sz w:val="28"/>
                <w:szCs w:val="28"/>
              </w:rPr>
              <w:t>起数</w:t>
            </w:r>
          </w:p>
        </w:tc>
        <w:tc>
          <w:tcPr>
            <w:tcW w:w="899" w:type="dxa"/>
            <w:vAlign w:val="center"/>
          </w:tcPr>
          <w:p>
            <w:pPr>
              <w:spacing w:line="400" w:lineRule="exact"/>
              <w:jc w:val="center"/>
              <w:rPr>
                <w:sz w:val="28"/>
                <w:szCs w:val="28"/>
              </w:rPr>
            </w:pPr>
            <w:r>
              <w:rPr>
                <w:sz w:val="28"/>
                <w:szCs w:val="28"/>
              </w:rPr>
              <w:t>77</w:t>
            </w:r>
          </w:p>
        </w:tc>
        <w:tc>
          <w:tcPr>
            <w:tcW w:w="1136" w:type="dxa"/>
            <w:vAlign w:val="center"/>
          </w:tcPr>
          <w:p>
            <w:pPr>
              <w:spacing w:line="400" w:lineRule="exact"/>
              <w:jc w:val="center"/>
              <w:rPr>
                <w:sz w:val="28"/>
                <w:szCs w:val="28"/>
              </w:rPr>
            </w:pPr>
            <w:r>
              <w:rPr>
                <w:sz w:val="28"/>
                <w:szCs w:val="28"/>
              </w:rPr>
              <w:t>1642</w:t>
            </w:r>
          </w:p>
        </w:tc>
        <w:tc>
          <w:tcPr>
            <w:tcW w:w="900" w:type="dxa"/>
            <w:vAlign w:val="center"/>
          </w:tcPr>
          <w:p>
            <w:pPr>
              <w:spacing w:line="400" w:lineRule="exact"/>
              <w:jc w:val="center"/>
              <w:rPr>
                <w:sz w:val="28"/>
                <w:szCs w:val="28"/>
              </w:rPr>
            </w:pPr>
            <w:r>
              <w:rPr>
                <w:sz w:val="28"/>
                <w:szCs w:val="28"/>
              </w:rPr>
              <w:t>16</w:t>
            </w:r>
          </w:p>
        </w:tc>
        <w:tc>
          <w:tcPr>
            <w:tcW w:w="1136" w:type="dxa"/>
            <w:vAlign w:val="center"/>
          </w:tcPr>
          <w:p>
            <w:pPr>
              <w:spacing w:line="400" w:lineRule="exact"/>
              <w:jc w:val="center"/>
              <w:rPr>
                <w:sz w:val="28"/>
                <w:szCs w:val="28"/>
              </w:rPr>
            </w:pPr>
            <w:r>
              <w:rPr>
                <w:sz w:val="28"/>
                <w:szCs w:val="28"/>
              </w:rPr>
              <w:t>13</w:t>
            </w:r>
          </w:p>
        </w:tc>
        <w:tc>
          <w:tcPr>
            <w:tcW w:w="1242" w:type="dxa"/>
            <w:vAlign w:val="center"/>
          </w:tcPr>
          <w:p>
            <w:pPr>
              <w:spacing w:line="400" w:lineRule="exact"/>
              <w:jc w:val="center"/>
              <w:rPr>
                <w:sz w:val="28"/>
                <w:szCs w:val="28"/>
              </w:rPr>
            </w:pPr>
            <w:r>
              <w:rPr>
                <w:sz w:val="28"/>
                <w:szCs w:val="28"/>
              </w:rPr>
              <w:t>18</w:t>
            </w:r>
          </w:p>
        </w:tc>
        <w:tc>
          <w:tcPr>
            <w:tcW w:w="1050" w:type="dxa"/>
            <w:vAlign w:val="center"/>
          </w:tcPr>
          <w:p>
            <w:pPr>
              <w:spacing w:line="400" w:lineRule="exact"/>
              <w:jc w:val="center"/>
              <w:rPr>
                <w:sz w:val="28"/>
                <w:szCs w:val="28"/>
              </w:rPr>
            </w:pPr>
            <w:r>
              <w:rPr>
                <w:sz w:val="28"/>
                <w:szCs w:val="28"/>
              </w:rPr>
              <w:t>14</w:t>
            </w:r>
          </w:p>
        </w:tc>
        <w:tc>
          <w:tcPr>
            <w:tcW w:w="896" w:type="dxa"/>
            <w:vAlign w:val="center"/>
          </w:tcPr>
          <w:p>
            <w:pPr>
              <w:spacing w:line="400" w:lineRule="exact"/>
              <w:jc w:val="center"/>
              <w:rPr>
                <w:sz w:val="28"/>
                <w:szCs w:val="28"/>
              </w:rPr>
            </w:pPr>
            <w:r>
              <w:rPr>
                <w:sz w:val="28"/>
                <w:szCs w:val="28"/>
              </w:rPr>
              <w:t>1716</w:t>
            </w:r>
          </w:p>
        </w:tc>
        <w:tc>
          <w:tcPr>
            <w:tcW w:w="868" w:type="dxa"/>
            <w:vAlign w:val="center"/>
          </w:tcPr>
          <w:p>
            <w:pPr>
              <w:spacing w:line="400" w:lineRule="exact"/>
              <w:jc w:val="center"/>
              <w:rPr>
                <w:sz w:val="28"/>
                <w:szCs w:val="28"/>
              </w:rPr>
            </w:pPr>
            <w:r>
              <w:rPr>
                <w:sz w:val="28"/>
                <w:szCs w:val="2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trPr>
        <w:tc>
          <w:tcPr>
            <w:tcW w:w="1065" w:type="dxa"/>
            <w:vAlign w:val="center"/>
          </w:tcPr>
          <w:p>
            <w:pPr>
              <w:spacing w:line="400" w:lineRule="exact"/>
              <w:jc w:val="center"/>
              <w:rPr>
                <w:rFonts w:hint="eastAsia"/>
                <w:sz w:val="28"/>
                <w:szCs w:val="28"/>
              </w:rPr>
            </w:pPr>
            <w:r>
              <w:rPr>
                <w:sz w:val="28"/>
                <w:szCs w:val="28"/>
              </w:rPr>
              <w:t>死亡</w:t>
            </w:r>
          </w:p>
          <w:p>
            <w:pPr>
              <w:spacing w:line="400" w:lineRule="exact"/>
              <w:jc w:val="center"/>
              <w:rPr>
                <w:sz w:val="28"/>
                <w:szCs w:val="28"/>
              </w:rPr>
            </w:pPr>
            <w:r>
              <w:rPr>
                <w:sz w:val="28"/>
                <w:szCs w:val="28"/>
              </w:rPr>
              <w:t>人数</w:t>
            </w:r>
          </w:p>
        </w:tc>
        <w:tc>
          <w:tcPr>
            <w:tcW w:w="899" w:type="dxa"/>
            <w:vAlign w:val="center"/>
          </w:tcPr>
          <w:p>
            <w:pPr>
              <w:spacing w:line="400" w:lineRule="exact"/>
              <w:jc w:val="center"/>
              <w:rPr>
                <w:sz w:val="28"/>
                <w:szCs w:val="28"/>
              </w:rPr>
            </w:pPr>
            <w:r>
              <w:rPr>
                <w:sz w:val="28"/>
                <w:szCs w:val="28"/>
              </w:rPr>
              <w:t>233</w:t>
            </w:r>
          </w:p>
        </w:tc>
        <w:tc>
          <w:tcPr>
            <w:tcW w:w="1136" w:type="dxa"/>
            <w:vAlign w:val="center"/>
          </w:tcPr>
          <w:p>
            <w:pPr>
              <w:spacing w:line="400" w:lineRule="exact"/>
              <w:jc w:val="center"/>
              <w:rPr>
                <w:sz w:val="28"/>
                <w:szCs w:val="28"/>
              </w:rPr>
            </w:pPr>
            <w:r>
              <w:rPr>
                <w:sz w:val="28"/>
                <w:szCs w:val="28"/>
              </w:rPr>
              <w:t>1038</w:t>
            </w:r>
          </w:p>
        </w:tc>
        <w:tc>
          <w:tcPr>
            <w:tcW w:w="900" w:type="dxa"/>
            <w:vAlign w:val="center"/>
          </w:tcPr>
          <w:p>
            <w:pPr>
              <w:spacing w:line="400" w:lineRule="exact"/>
              <w:jc w:val="center"/>
              <w:rPr>
                <w:sz w:val="28"/>
                <w:szCs w:val="28"/>
              </w:rPr>
            </w:pPr>
            <w:r>
              <w:rPr>
                <w:sz w:val="28"/>
                <w:szCs w:val="28"/>
              </w:rPr>
              <w:t>18</w:t>
            </w:r>
          </w:p>
        </w:tc>
        <w:tc>
          <w:tcPr>
            <w:tcW w:w="1136" w:type="dxa"/>
            <w:vAlign w:val="center"/>
          </w:tcPr>
          <w:p>
            <w:pPr>
              <w:spacing w:line="400" w:lineRule="exact"/>
              <w:jc w:val="center"/>
              <w:rPr>
                <w:sz w:val="28"/>
                <w:szCs w:val="28"/>
              </w:rPr>
            </w:pPr>
            <w:r>
              <w:rPr>
                <w:sz w:val="28"/>
                <w:szCs w:val="28"/>
              </w:rPr>
              <w:t>17</w:t>
            </w:r>
          </w:p>
        </w:tc>
        <w:tc>
          <w:tcPr>
            <w:tcW w:w="1242" w:type="dxa"/>
            <w:vAlign w:val="center"/>
          </w:tcPr>
          <w:p>
            <w:pPr>
              <w:spacing w:line="400" w:lineRule="exact"/>
              <w:jc w:val="center"/>
              <w:rPr>
                <w:sz w:val="28"/>
                <w:szCs w:val="28"/>
              </w:rPr>
            </w:pPr>
            <w:r>
              <w:rPr>
                <w:sz w:val="28"/>
                <w:szCs w:val="28"/>
              </w:rPr>
              <w:t>26</w:t>
            </w:r>
          </w:p>
        </w:tc>
        <w:tc>
          <w:tcPr>
            <w:tcW w:w="1050" w:type="dxa"/>
            <w:vAlign w:val="center"/>
          </w:tcPr>
          <w:p>
            <w:pPr>
              <w:spacing w:line="400" w:lineRule="exact"/>
              <w:jc w:val="center"/>
              <w:rPr>
                <w:sz w:val="28"/>
                <w:szCs w:val="28"/>
              </w:rPr>
            </w:pPr>
            <w:r>
              <w:rPr>
                <w:sz w:val="28"/>
                <w:szCs w:val="28"/>
              </w:rPr>
              <w:t>17</w:t>
            </w:r>
          </w:p>
        </w:tc>
        <w:tc>
          <w:tcPr>
            <w:tcW w:w="896" w:type="dxa"/>
            <w:vAlign w:val="center"/>
          </w:tcPr>
          <w:p>
            <w:pPr>
              <w:spacing w:line="400" w:lineRule="exact"/>
              <w:jc w:val="center"/>
              <w:rPr>
                <w:sz w:val="28"/>
                <w:szCs w:val="28"/>
              </w:rPr>
            </w:pPr>
            <w:r>
              <w:rPr>
                <w:sz w:val="28"/>
                <w:szCs w:val="28"/>
              </w:rPr>
              <w:t>39</w:t>
            </w:r>
          </w:p>
        </w:tc>
        <w:tc>
          <w:tcPr>
            <w:tcW w:w="868" w:type="dxa"/>
            <w:vAlign w:val="center"/>
          </w:tcPr>
          <w:p>
            <w:pPr>
              <w:spacing w:line="400" w:lineRule="exact"/>
              <w:jc w:val="center"/>
              <w:rPr>
                <w:sz w:val="28"/>
                <w:szCs w:val="28"/>
              </w:rPr>
            </w:pPr>
            <w:r>
              <w:rPr>
                <w:sz w:val="28"/>
                <w:szCs w:val="28"/>
              </w:rPr>
              <w:t>5</w:t>
            </w:r>
          </w:p>
        </w:tc>
      </w:tr>
    </w:tbl>
    <w:p>
      <w:pPr>
        <w:jc w:val="center"/>
        <w:rPr>
          <w:b/>
          <w:szCs w:val="32"/>
        </w:rPr>
      </w:pPr>
      <w:r>
        <w:rPr>
          <w:b/>
          <w:szCs w:val="32"/>
        </w:rPr>
        <w:t>表4：2011年——2015年相对指标完成情况</w:t>
      </w:r>
    </w:p>
    <w:tbl>
      <w:tblPr>
        <w:tblStyle w:val="3"/>
        <w:tblpPr w:leftFromText="180" w:rightFromText="180" w:vertAnchor="text" w:horzAnchor="page" w:tblpX="1800" w:tblpY="300"/>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20"/>
        <w:gridCol w:w="1316"/>
        <w:gridCol w:w="1260"/>
        <w:gridCol w:w="1184"/>
        <w:gridCol w:w="1336"/>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atLeast"/>
        </w:trPr>
        <w:tc>
          <w:tcPr>
            <w:tcW w:w="2920" w:type="dxa"/>
            <w:vAlign w:val="center"/>
          </w:tcPr>
          <w:p>
            <w:pPr>
              <w:spacing w:line="480" w:lineRule="exact"/>
              <w:jc w:val="center"/>
              <w:rPr>
                <w:sz w:val="28"/>
                <w:szCs w:val="28"/>
              </w:rPr>
            </w:pPr>
            <w:r>
              <w:rPr>
                <w:sz w:val="28"/>
                <w:szCs w:val="28"/>
              </w:rPr>
              <w:t>项</w:t>
            </w:r>
            <w:r>
              <w:rPr>
                <w:rFonts w:hint="eastAsia"/>
                <w:sz w:val="28"/>
                <w:szCs w:val="28"/>
              </w:rPr>
              <w:t xml:space="preserve">  </w:t>
            </w:r>
            <w:r>
              <w:rPr>
                <w:sz w:val="28"/>
                <w:szCs w:val="28"/>
              </w:rPr>
              <w:t>目</w:t>
            </w:r>
          </w:p>
        </w:tc>
        <w:tc>
          <w:tcPr>
            <w:tcW w:w="1316" w:type="dxa"/>
            <w:vAlign w:val="center"/>
          </w:tcPr>
          <w:p>
            <w:pPr>
              <w:spacing w:line="480" w:lineRule="exact"/>
              <w:jc w:val="center"/>
              <w:rPr>
                <w:sz w:val="28"/>
                <w:szCs w:val="28"/>
              </w:rPr>
            </w:pPr>
            <w:r>
              <w:rPr>
                <w:sz w:val="28"/>
                <w:szCs w:val="28"/>
              </w:rPr>
              <w:t>2011年</w:t>
            </w:r>
          </w:p>
        </w:tc>
        <w:tc>
          <w:tcPr>
            <w:tcW w:w="1260" w:type="dxa"/>
            <w:vAlign w:val="center"/>
          </w:tcPr>
          <w:p>
            <w:pPr>
              <w:spacing w:line="480" w:lineRule="exact"/>
              <w:jc w:val="center"/>
              <w:rPr>
                <w:sz w:val="28"/>
                <w:szCs w:val="28"/>
              </w:rPr>
            </w:pPr>
            <w:r>
              <w:rPr>
                <w:sz w:val="28"/>
                <w:szCs w:val="28"/>
              </w:rPr>
              <w:t>2012年</w:t>
            </w:r>
          </w:p>
        </w:tc>
        <w:tc>
          <w:tcPr>
            <w:tcW w:w="1184" w:type="dxa"/>
            <w:vAlign w:val="center"/>
          </w:tcPr>
          <w:p>
            <w:pPr>
              <w:spacing w:line="480" w:lineRule="exact"/>
              <w:jc w:val="center"/>
              <w:rPr>
                <w:sz w:val="28"/>
                <w:szCs w:val="28"/>
              </w:rPr>
            </w:pPr>
            <w:r>
              <w:rPr>
                <w:sz w:val="28"/>
                <w:szCs w:val="28"/>
              </w:rPr>
              <w:t>2013年</w:t>
            </w:r>
          </w:p>
        </w:tc>
        <w:tc>
          <w:tcPr>
            <w:tcW w:w="1336" w:type="dxa"/>
            <w:vAlign w:val="center"/>
          </w:tcPr>
          <w:p>
            <w:pPr>
              <w:spacing w:line="480" w:lineRule="exact"/>
              <w:jc w:val="center"/>
              <w:rPr>
                <w:sz w:val="28"/>
                <w:szCs w:val="28"/>
              </w:rPr>
            </w:pPr>
            <w:r>
              <w:rPr>
                <w:sz w:val="28"/>
                <w:szCs w:val="28"/>
              </w:rPr>
              <w:t>2014年</w:t>
            </w:r>
          </w:p>
        </w:tc>
        <w:tc>
          <w:tcPr>
            <w:tcW w:w="1440" w:type="dxa"/>
            <w:vAlign w:val="center"/>
          </w:tcPr>
          <w:p>
            <w:pPr>
              <w:spacing w:line="480" w:lineRule="exact"/>
              <w:jc w:val="center"/>
              <w:rPr>
                <w:sz w:val="28"/>
                <w:szCs w:val="28"/>
              </w:rPr>
            </w:pPr>
            <w:r>
              <w:rPr>
                <w:sz w:val="28"/>
                <w:szCs w:val="28"/>
              </w:rPr>
              <w:t>2015年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trPr>
        <w:tc>
          <w:tcPr>
            <w:tcW w:w="2920" w:type="dxa"/>
            <w:vAlign w:val="center"/>
          </w:tcPr>
          <w:p>
            <w:pPr>
              <w:spacing w:line="480" w:lineRule="exact"/>
              <w:jc w:val="center"/>
              <w:rPr>
                <w:rFonts w:hint="eastAsia"/>
                <w:sz w:val="28"/>
                <w:szCs w:val="28"/>
              </w:rPr>
            </w:pPr>
            <w:r>
              <w:rPr>
                <w:sz w:val="28"/>
                <w:szCs w:val="28"/>
              </w:rPr>
              <w:t>亿元生产总值</w:t>
            </w:r>
          </w:p>
          <w:p>
            <w:pPr>
              <w:spacing w:line="480" w:lineRule="exact"/>
              <w:jc w:val="center"/>
              <w:rPr>
                <w:sz w:val="28"/>
                <w:szCs w:val="28"/>
              </w:rPr>
            </w:pPr>
            <w:r>
              <w:rPr>
                <w:sz w:val="28"/>
                <w:szCs w:val="28"/>
              </w:rPr>
              <w:t>生产安全事故死亡率</w:t>
            </w:r>
          </w:p>
        </w:tc>
        <w:tc>
          <w:tcPr>
            <w:tcW w:w="1316" w:type="dxa"/>
            <w:vAlign w:val="center"/>
          </w:tcPr>
          <w:p>
            <w:pPr>
              <w:spacing w:line="480" w:lineRule="exact"/>
              <w:jc w:val="center"/>
              <w:rPr>
                <w:sz w:val="28"/>
                <w:szCs w:val="28"/>
              </w:rPr>
            </w:pPr>
            <w:r>
              <w:rPr>
                <w:sz w:val="28"/>
                <w:szCs w:val="28"/>
              </w:rPr>
              <w:t>0.21</w:t>
            </w:r>
          </w:p>
        </w:tc>
        <w:tc>
          <w:tcPr>
            <w:tcW w:w="1260" w:type="dxa"/>
            <w:vAlign w:val="center"/>
          </w:tcPr>
          <w:p>
            <w:pPr>
              <w:spacing w:line="480" w:lineRule="exact"/>
              <w:jc w:val="center"/>
              <w:rPr>
                <w:sz w:val="28"/>
                <w:szCs w:val="28"/>
              </w:rPr>
            </w:pPr>
            <w:r>
              <w:rPr>
                <w:sz w:val="28"/>
                <w:szCs w:val="28"/>
              </w:rPr>
              <w:t>0.13</w:t>
            </w:r>
          </w:p>
        </w:tc>
        <w:tc>
          <w:tcPr>
            <w:tcW w:w="1184" w:type="dxa"/>
            <w:vAlign w:val="center"/>
          </w:tcPr>
          <w:p>
            <w:pPr>
              <w:spacing w:line="480" w:lineRule="exact"/>
              <w:jc w:val="center"/>
              <w:rPr>
                <w:sz w:val="28"/>
                <w:szCs w:val="28"/>
              </w:rPr>
            </w:pPr>
            <w:r>
              <w:rPr>
                <w:sz w:val="28"/>
                <w:szCs w:val="28"/>
              </w:rPr>
              <w:t>0.11</w:t>
            </w:r>
          </w:p>
        </w:tc>
        <w:tc>
          <w:tcPr>
            <w:tcW w:w="1336" w:type="dxa"/>
            <w:vAlign w:val="center"/>
          </w:tcPr>
          <w:p>
            <w:pPr>
              <w:spacing w:line="480" w:lineRule="exact"/>
              <w:jc w:val="center"/>
              <w:rPr>
                <w:sz w:val="28"/>
                <w:szCs w:val="28"/>
              </w:rPr>
            </w:pPr>
            <w:r>
              <w:rPr>
                <w:sz w:val="28"/>
                <w:szCs w:val="28"/>
              </w:rPr>
              <w:t>0.26</w:t>
            </w:r>
          </w:p>
        </w:tc>
        <w:tc>
          <w:tcPr>
            <w:tcW w:w="1440" w:type="dxa"/>
            <w:vAlign w:val="center"/>
          </w:tcPr>
          <w:p>
            <w:pPr>
              <w:spacing w:line="480" w:lineRule="exact"/>
              <w:jc w:val="center"/>
              <w:rPr>
                <w:sz w:val="28"/>
                <w:szCs w:val="28"/>
              </w:rPr>
            </w:pPr>
            <w:r>
              <w:rPr>
                <w:sz w:val="28"/>
                <w:szCs w:val="28"/>
              </w:rPr>
              <w:t>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trPr>
        <w:tc>
          <w:tcPr>
            <w:tcW w:w="2920" w:type="dxa"/>
            <w:vAlign w:val="center"/>
          </w:tcPr>
          <w:p>
            <w:pPr>
              <w:spacing w:line="480" w:lineRule="exact"/>
              <w:jc w:val="center"/>
              <w:rPr>
                <w:rFonts w:hint="eastAsia"/>
                <w:sz w:val="28"/>
                <w:szCs w:val="28"/>
              </w:rPr>
            </w:pPr>
            <w:r>
              <w:rPr>
                <w:sz w:val="28"/>
                <w:szCs w:val="28"/>
              </w:rPr>
              <w:t>工矿商贸从业人员</w:t>
            </w:r>
          </w:p>
          <w:p>
            <w:pPr>
              <w:spacing w:line="480" w:lineRule="exact"/>
              <w:jc w:val="center"/>
              <w:rPr>
                <w:rFonts w:hint="eastAsia"/>
                <w:sz w:val="28"/>
                <w:szCs w:val="28"/>
              </w:rPr>
            </w:pPr>
            <w:r>
              <w:rPr>
                <w:sz w:val="28"/>
                <w:szCs w:val="28"/>
              </w:rPr>
              <w:t>10万人生产安全</w:t>
            </w:r>
          </w:p>
          <w:p>
            <w:pPr>
              <w:spacing w:line="480" w:lineRule="exact"/>
              <w:jc w:val="center"/>
              <w:rPr>
                <w:sz w:val="28"/>
                <w:szCs w:val="28"/>
              </w:rPr>
            </w:pPr>
            <w:r>
              <w:rPr>
                <w:sz w:val="28"/>
                <w:szCs w:val="28"/>
              </w:rPr>
              <w:t>事故死亡率</w:t>
            </w:r>
          </w:p>
        </w:tc>
        <w:tc>
          <w:tcPr>
            <w:tcW w:w="1316" w:type="dxa"/>
            <w:vAlign w:val="center"/>
          </w:tcPr>
          <w:p>
            <w:pPr>
              <w:spacing w:line="480" w:lineRule="exact"/>
              <w:jc w:val="center"/>
              <w:rPr>
                <w:sz w:val="28"/>
                <w:szCs w:val="28"/>
              </w:rPr>
            </w:pPr>
            <w:r>
              <w:rPr>
                <w:sz w:val="28"/>
                <w:szCs w:val="28"/>
              </w:rPr>
              <w:t>6.61</w:t>
            </w:r>
          </w:p>
        </w:tc>
        <w:tc>
          <w:tcPr>
            <w:tcW w:w="1260" w:type="dxa"/>
            <w:vAlign w:val="center"/>
          </w:tcPr>
          <w:p>
            <w:pPr>
              <w:spacing w:line="480" w:lineRule="exact"/>
              <w:jc w:val="center"/>
              <w:rPr>
                <w:sz w:val="28"/>
                <w:szCs w:val="28"/>
              </w:rPr>
            </w:pPr>
            <w:r>
              <w:rPr>
                <w:sz w:val="28"/>
                <w:szCs w:val="28"/>
              </w:rPr>
              <w:t>3.03</w:t>
            </w:r>
          </w:p>
        </w:tc>
        <w:tc>
          <w:tcPr>
            <w:tcW w:w="1184" w:type="dxa"/>
            <w:vAlign w:val="center"/>
          </w:tcPr>
          <w:p>
            <w:pPr>
              <w:spacing w:line="480" w:lineRule="exact"/>
              <w:jc w:val="center"/>
              <w:rPr>
                <w:sz w:val="28"/>
                <w:szCs w:val="28"/>
              </w:rPr>
            </w:pPr>
            <w:r>
              <w:rPr>
                <w:sz w:val="28"/>
                <w:szCs w:val="28"/>
              </w:rPr>
              <w:t>2.42</w:t>
            </w:r>
          </w:p>
        </w:tc>
        <w:tc>
          <w:tcPr>
            <w:tcW w:w="1336" w:type="dxa"/>
            <w:vAlign w:val="center"/>
          </w:tcPr>
          <w:p>
            <w:pPr>
              <w:spacing w:line="480" w:lineRule="exact"/>
              <w:jc w:val="center"/>
              <w:rPr>
                <w:sz w:val="28"/>
                <w:szCs w:val="28"/>
              </w:rPr>
            </w:pPr>
            <w:r>
              <w:rPr>
                <w:sz w:val="28"/>
                <w:szCs w:val="28"/>
              </w:rPr>
              <w:t>3.96</w:t>
            </w:r>
          </w:p>
        </w:tc>
        <w:tc>
          <w:tcPr>
            <w:tcW w:w="1440" w:type="dxa"/>
            <w:vAlign w:val="center"/>
          </w:tcPr>
          <w:p>
            <w:pPr>
              <w:spacing w:line="480" w:lineRule="exact"/>
              <w:jc w:val="center"/>
              <w:rPr>
                <w:sz w:val="28"/>
                <w:szCs w:val="28"/>
              </w:rPr>
            </w:pPr>
            <w:r>
              <w:rPr>
                <w:sz w:val="28"/>
                <w:szCs w:val="28"/>
              </w:rPr>
              <w:t>2.27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trPr>
        <w:tc>
          <w:tcPr>
            <w:tcW w:w="2920" w:type="dxa"/>
            <w:vAlign w:val="center"/>
          </w:tcPr>
          <w:p>
            <w:pPr>
              <w:spacing w:line="480" w:lineRule="exact"/>
              <w:jc w:val="center"/>
              <w:rPr>
                <w:sz w:val="28"/>
                <w:szCs w:val="28"/>
              </w:rPr>
            </w:pPr>
            <w:r>
              <w:rPr>
                <w:sz w:val="28"/>
                <w:szCs w:val="28"/>
              </w:rPr>
              <w:t>道路交通万车死亡率</w:t>
            </w:r>
          </w:p>
        </w:tc>
        <w:tc>
          <w:tcPr>
            <w:tcW w:w="1316" w:type="dxa"/>
            <w:vAlign w:val="center"/>
          </w:tcPr>
          <w:p>
            <w:pPr>
              <w:spacing w:line="480" w:lineRule="exact"/>
              <w:jc w:val="center"/>
              <w:rPr>
                <w:sz w:val="28"/>
                <w:szCs w:val="28"/>
              </w:rPr>
            </w:pPr>
            <w:r>
              <w:rPr>
                <w:sz w:val="28"/>
                <w:szCs w:val="28"/>
              </w:rPr>
              <w:t>1.59</w:t>
            </w:r>
          </w:p>
        </w:tc>
        <w:tc>
          <w:tcPr>
            <w:tcW w:w="1260" w:type="dxa"/>
            <w:vAlign w:val="center"/>
          </w:tcPr>
          <w:p>
            <w:pPr>
              <w:spacing w:line="480" w:lineRule="exact"/>
              <w:jc w:val="center"/>
              <w:rPr>
                <w:sz w:val="28"/>
                <w:szCs w:val="28"/>
              </w:rPr>
            </w:pPr>
            <w:r>
              <w:rPr>
                <w:sz w:val="28"/>
                <w:szCs w:val="28"/>
              </w:rPr>
              <w:t>1.40</w:t>
            </w:r>
          </w:p>
        </w:tc>
        <w:tc>
          <w:tcPr>
            <w:tcW w:w="1184" w:type="dxa"/>
            <w:vAlign w:val="center"/>
          </w:tcPr>
          <w:p>
            <w:pPr>
              <w:spacing w:line="480" w:lineRule="exact"/>
              <w:jc w:val="center"/>
              <w:rPr>
                <w:sz w:val="28"/>
                <w:szCs w:val="28"/>
              </w:rPr>
            </w:pPr>
            <w:r>
              <w:rPr>
                <w:sz w:val="28"/>
                <w:szCs w:val="28"/>
              </w:rPr>
              <w:t>1.30</w:t>
            </w:r>
          </w:p>
        </w:tc>
        <w:tc>
          <w:tcPr>
            <w:tcW w:w="1336" w:type="dxa"/>
            <w:vAlign w:val="center"/>
          </w:tcPr>
          <w:p>
            <w:pPr>
              <w:spacing w:line="480" w:lineRule="exact"/>
              <w:jc w:val="center"/>
              <w:rPr>
                <w:sz w:val="28"/>
                <w:szCs w:val="28"/>
              </w:rPr>
            </w:pPr>
            <w:r>
              <w:rPr>
                <w:sz w:val="28"/>
                <w:szCs w:val="28"/>
              </w:rPr>
              <w:t>3.19</w:t>
            </w:r>
          </w:p>
        </w:tc>
        <w:tc>
          <w:tcPr>
            <w:tcW w:w="1440" w:type="dxa"/>
            <w:vAlign w:val="center"/>
          </w:tcPr>
          <w:p>
            <w:pPr>
              <w:spacing w:line="480" w:lineRule="exact"/>
              <w:jc w:val="center"/>
              <w:rPr>
                <w:sz w:val="28"/>
                <w:szCs w:val="28"/>
              </w:rPr>
            </w:pPr>
            <w:r>
              <w:rPr>
                <w:sz w:val="28"/>
                <w:szCs w:val="28"/>
              </w:rPr>
              <w:t>3.06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2920" w:type="dxa"/>
            <w:vAlign w:val="center"/>
          </w:tcPr>
          <w:p>
            <w:pPr>
              <w:spacing w:line="480" w:lineRule="exact"/>
              <w:jc w:val="center"/>
              <w:rPr>
                <w:sz w:val="28"/>
                <w:szCs w:val="28"/>
              </w:rPr>
            </w:pPr>
            <w:r>
              <w:rPr>
                <w:sz w:val="28"/>
                <w:szCs w:val="28"/>
              </w:rPr>
              <w:t>煤矿百万吨死亡率</w:t>
            </w:r>
          </w:p>
        </w:tc>
        <w:tc>
          <w:tcPr>
            <w:tcW w:w="1316" w:type="dxa"/>
            <w:vAlign w:val="center"/>
          </w:tcPr>
          <w:p>
            <w:pPr>
              <w:spacing w:line="480" w:lineRule="exact"/>
              <w:jc w:val="center"/>
              <w:rPr>
                <w:sz w:val="28"/>
                <w:szCs w:val="28"/>
              </w:rPr>
            </w:pPr>
            <w:r>
              <w:rPr>
                <w:sz w:val="28"/>
                <w:szCs w:val="28"/>
              </w:rPr>
              <w:t>2.41</w:t>
            </w:r>
          </w:p>
        </w:tc>
        <w:tc>
          <w:tcPr>
            <w:tcW w:w="1260" w:type="dxa"/>
            <w:vAlign w:val="center"/>
          </w:tcPr>
          <w:p>
            <w:pPr>
              <w:spacing w:line="480" w:lineRule="exact"/>
              <w:jc w:val="center"/>
              <w:rPr>
                <w:sz w:val="28"/>
                <w:szCs w:val="28"/>
              </w:rPr>
            </w:pPr>
            <w:r>
              <w:rPr>
                <w:sz w:val="28"/>
                <w:szCs w:val="28"/>
              </w:rPr>
              <w:t>1.13</w:t>
            </w:r>
          </w:p>
        </w:tc>
        <w:tc>
          <w:tcPr>
            <w:tcW w:w="1184" w:type="dxa"/>
            <w:vAlign w:val="center"/>
          </w:tcPr>
          <w:p>
            <w:pPr>
              <w:spacing w:line="480" w:lineRule="exact"/>
              <w:jc w:val="center"/>
              <w:rPr>
                <w:sz w:val="28"/>
                <w:szCs w:val="28"/>
              </w:rPr>
            </w:pPr>
            <w:r>
              <w:rPr>
                <w:sz w:val="28"/>
                <w:szCs w:val="28"/>
              </w:rPr>
              <w:t>0.77</w:t>
            </w:r>
          </w:p>
        </w:tc>
        <w:tc>
          <w:tcPr>
            <w:tcW w:w="1336" w:type="dxa"/>
            <w:vAlign w:val="center"/>
          </w:tcPr>
          <w:p>
            <w:pPr>
              <w:spacing w:line="480" w:lineRule="exact"/>
              <w:jc w:val="center"/>
              <w:rPr>
                <w:sz w:val="28"/>
                <w:szCs w:val="28"/>
              </w:rPr>
            </w:pPr>
            <w:r>
              <w:rPr>
                <w:sz w:val="28"/>
                <w:szCs w:val="28"/>
              </w:rPr>
              <w:t>2.56</w:t>
            </w:r>
          </w:p>
        </w:tc>
        <w:tc>
          <w:tcPr>
            <w:tcW w:w="1440" w:type="dxa"/>
            <w:vAlign w:val="center"/>
          </w:tcPr>
          <w:p>
            <w:pPr>
              <w:spacing w:line="480" w:lineRule="exact"/>
              <w:jc w:val="center"/>
              <w:rPr>
                <w:sz w:val="28"/>
                <w:szCs w:val="28"/>
              </w:rPr>
            </w:pPr>
            <w:r>
              <w:rPr>
                <w:sz w:val="28"/>
                <w:szCs w:val="28"/>
              </w:rPr>
              <w:t>0.49</w:t>
            </w:r>
          </w:p>
        </w:tc>
      </w:tr>
    </w:tbl>
    <w:p>
      <w:pPr>
        <w:rPr>
          <w:rFonts w:hint="eastAsia"/>
          <w:szCs w:val="32"/>
        </w:rPr>
      </w:pPr>
    </w:p>
    <w:p>
      <w:pPr>
        <w:jc w:val="center"/>
        <w:rPr>
          <w:b/>
          <w:szCs w:val="32"/>
        </w:rPr>
      </w:pPr>
      <w:r>
        <w:rPr>
          <w:b/>
          <w:szCs w:val="32"/>
        </w:rPr>
        <w:t>表5：</w:t>
      </w:r>
      <w:r>
        <w:rPr>
          <w:rFonts w:hint="eastAsia"/>
          <w:b/>
          <w:szCs w:val="32"/>
        </w:rPr>
        <w:t>“</w:t>
      </w:r>
      <w:r>
        <w:rPr>
          <w:b/>
          <w:szCs w:val="32"/>
        </w:rPr>
        <w:t>十一五</w:t>
      </w:r>
      <w:r>
        <w:rPr>
          <w:rFonts w:hint="eastAsia"/>
          <w:b/>
          <w:szCs w:val="32"/>
        </w:rPr>
        <w:t>”</w:t>
      </w:r>
      <w:r>
        <w:rPr>
          <w:b/>
          <w:szCs w:val="32"/>
        </w:rPr>
        <w:t>与</w:t>
      </w:r>
      <w:r>
        <w:rPr>
          <w:rFonts w:hint="eastAsia"/>
          <w:b/>
          <w:szCs w:val="32"/>
        </w:rPr>
        <w:t>“</w:t>
      </w:r>
      <w:r>
        <w:rPr>
          <w:b/>
          <w:szCs w:val="32"/>
        </w:rPr>
        <w:t>十二五</w:t>
      </w:r>
      <w:r>
        <w:rPr>
          <w:rFonts w:hint="eastAsia"/>
          <w:b/>
          <w:szCs w:val="32"/>
        </w:rPr>
        <w:t>”</w:t>
      </w:r>
      <w:r>
        <w:rPr>
          <w:b/>
          <w:szCs w:val="32"/>
        </w:rPr>
        <w:t>主要指标情况</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85"/>
        <w:gridCol w:w="2367"/>
        <w:gridCol w:w="2143"/>
        <w:gridCol w:w="13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3185" w:type="dxa"/>
            <w:vAlign w:val="center"/>
          </w:tcPr>
          <w:p>
            <w:pPr>
              <w:spacing w:line="480" w:lineRule="exact"/>
              <w:jc w:val="center"/>
              <w:rPr>
                <w:szCs w:val="32"/>
              </w:rPr>
            </w:pPr>
            <w:r>
              <w:rPr>
                <w:szCs w:val="32"/>
              </w:rPr>
              <w:t>项</w:t>
            </w:r>
            <w:r>
              <w:rPr>
                <w:rFonts w:hint="eastAsia"/>
                <w:szCs w:val="32"/>
              </w:rPr>
              <w:t xml:space="preserve">  </w:t>
            </w:r>
            <w:r>
              <w:rPr>
                <w:szCs w:val="32"/>
              </w:rPr>
              <w:t>目</w:t>
            </w:r>
          </w:p>
        </w:tc>
        <w:tc>
          <w:tcPr>
            <w:tcW w:w="2367" w:type="dxa"/>
            <w:vAlign w:val="center"/>
          </w:tcPr>
          <w:p>
            <w:pPr>
              <w:spacing w:line="480" w:lineRule="exact"/>
              <w:jc w:val="center"/>
              <w:rPr>
                <w:rFonts w:hint="eastAsia"/>
                <w:szCs w:val="32"/>
              </w:rPr>
            </w:pPr>
            <w:r>
              <w:rPr>
                <w:szCs w:val="32"/>
              </w:rPr>
              <w:t>“十一五”</w:t>
            </w:r>
          </w:p>
          <w:p>
            <w:pPr>
              <w:spacing w:line="480" w:lineRule="exact"/>
              <w:jc w:val="center"/>
              <w:rPr>
                <w:szCs w:val="32"/>
              </w:rPr>
            </w:pPr>
            <w:r>
              <w:rPr>
                <w:szCs w:val="32"/>
              </w:rPr>
              <w:t>平均指标</w:t>
            </w:r>
          </w:p>
        </w:tc>
        <w:tc>
          <w:tcPr>
            <w:tcW w:w="2143" w:type="dxa"/>
            <w:vAlign w:val="center"/>
          </w:tcPr>
          <w:p>
            <w:pPr>
              <w:spacing w:line="480" w:lineRule="exact"/>
              <w:jc w:val="center"/>
              <w:rPr>
                <w:rFonts w:hint="eastAsia"/>
                <w:szCs w:val="32"/>
              </w:rPr>
            </w:pPr>
            <w:r>
              <w:rPr>
                <w:szCs w:val="32"/>
              </w:rPr>
              <w:t>“十二五”</w:t>
            </w:r>
          </w:p>
          <w:p>
            <w:pPr>
              <w:spacing w:line="480" w:lineRule="exact"/>
              <w:jc w:val="center"/>
              <w:rPr>
                <w:szCs w:val="32"/>
              </w:rPr>
            </w:pPr>
            <w:r>
              <w:rPr>
                <w:szCs w:val="32"/>
              </w:rPr>
              <w:t>平均指标</w:t>
            </w:r>
          </w:p>
        </w:tc>
        <w:tc>
          <w:tcPr>
            <w:tcW w:w="1372" w:type="dxa"/>
            <w:vAlign w:val="center"/>
          </w:tcPr>
          <w:p>
            <w:pPr>
              <w:spacing w:line="480" w:lineRule="exact"/>
              <w:jc w:val="center"/>
              <w:rPr>
                <w:rFonts w:hint="eastAsia"/>
                <w:szCs w:val="32"/>
              </w:rPr>
            </w:pPr>
            <w:r>
              <w:rPr>
                <w:szCs w:val="32"/>
              </w:rPr>
              <w:t>实际</w:t>
            </w:r>
          </w:p>
          <w:p>
            <w:pPr>
              <w:spacing w:line="480" w:lineRule="exact"/>
              <w:jc w:val="center"/>
              <w:rPr>
                <w:szCs w:val="32"/>
              </w:rPr>
            </w:pPr>
            <w:r>
              <w:rPr>
                <w:szCs w:val="32"/>
              </w:rPr>
              <w:t>降幅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8" w:hRule="atLeast"/>
        </w:trPr>
        <w:tc>
          <w:tcPr>
            <w:tcW w:w="3185" w:type="dxa"/>
            <w:vAlign w:val="center"/>
          </w:tcPr>
          <w:p>
            <w:pPr>
              <w:spacing w:line="480" w:lineRule="exact"/>
              <w:jc w:val="center"/>
              <w:rPr>
                <w:szCs w:val="32"/>
              </w:rPr>
            </w:pPr>
            <w:r>
              <w:rPr>
                <w:szCs w:val="32"/>
              </w:rPr>
              <w:t>亿元国内生产总值生产安全事故死亡率</w:t>
            </w:r>
          </w:p>
        </w:tc>
        <w:tc>
          <w:tcPr>
            <w:tcW w:w="2367" w:type="dxa"/>
            <w:vAlign w:val="center"/>
          </w:tcPr>
          <w:p>
            <w:pPr>
              <w:spacing w:line="480" w:lineRule="exact"/>
              <w:jc w:val="center"/>
              <w:rPr>
                <w:szCs w:val="32"/>
              </w:rPr>
            </w:pPr>
            <w:r>
              <w:rPr>
                <w:szCs w:val="32"/>
              </w:rPr>
              <w:t>0.36</w:t>
            </w:r>
          </w:p>
        </w:tc>
        <w:tc>
          <w:tcPr>
            <w:tcW w:w="2143" w:type="dxa"/>
            <w:vAlign w:val="center"/>
          </w:tcPr>
          <w:p>
            <w:pPr>
              <w:spacing w:line="480" w:lineRule="exact"/>
              <w:jc w:val="center"/>
              <w:rPr>
                <w:szCs w:val="32"/>
              </w:rPr>
            </w:pPr>
            <w:r>
              <w:rPr>
                <w:szCs w:val="32"/>
              </w:rPr>
              <w:t>0.19</w:t>
            </w:r>
          </w:p>
        </w:tc>
        <w:tc>
          <w:tcPr>
            <w:tcW w:w="1372" w:type="dxa"/>
            <w:vAlign w:val="center"/>
          </w:tcPr>
          <w:p>
            <w:pPr>
              <w:spacing w:line="480" w:lineRule="exact"/>
              <w:jc w:val="center"/>
              <w:rPr>
                <w:szCs w:val="32"/>
              </w:rPr>
            </w:pPr>
            <w:r>
              <w:rPr>
                <w:szCs w:val="32"/>
              </w:rPr>
              <w:t>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3185" w:type="dxa"/>
            <w:vAlign w:val="center"/>
          </w:tcPr>
          <w:p>
            <w:pPr>
              <w:spacing w:line="480" w:lineRule="exact"/>
              <w:jc w:val="center"/>
              <w:rPr>
                <w:szCs w:val="32"/>
              </w:rPr>
            </w:pPr>
            <w:r>
              <w:rPr>
                <w:szCs w:val="32"/>
              </w:rPr>
              <w:t>工矿商贸从业人员10万 人生产安全事故死亡率</w:t>
            </w:r>
          </w:p>
        </w:tc>
        <w:tc>
          <w:tcPr>
            <w:tcW w:w="2367" w:type="dxa"/>
            <w:vAlign w:val="center"/>
          </w:tcPr>
          <w:p>
            <w:pPr>
              <w:spacing w:line="480" w:lineRule="exact"/>
              <w:jc w:val="center"/>
              <w:rPr>
                <w:szCs w:val="32"/>
              </w:rPr>
            </w:pPr>
            <w:r>
              <w:rPr>
                <w:szCs w:val="32"/>
              </w:rPr>
              <w:t>4.44</w:t>
            </w:r>
          </w:p>
        </w:tc>
        <w:tc>
          <w:tcPr>
            <w:tcW w:w="2143" w:type="dxa"/>
            <w:vAlign w:val="center"/>
          </w:tcPr>
          <w:p>
            <w:pPr>
              <w:spacing w:line="480" w:lineRule="exact"/>
              <w:jc w:val="center"/>
              <w:rPr>
                <w:szCs w:val="32"/>
              </w:rPr>
            </w:pPr>
            <w:r>
              <w:rPr>
                <w:szCs w:val="32"/>
              </w:rPr>
              <w:t>3.60</w:t>
            </w:r>
          </w:p>
        </w:tc>
        <w:tc>
          <w:tcPr>
            <w:tcW w:w="1372" w:type="dxa"/>
            <w:vAlign w:val="center"/>
          </w:tcPr>
          <w:p>
            <w:pPr>
              <w:spacing w:line="480" w:lineRule="exact"/>
              <w:jc w:val="center"/>
              <w:rPr>
                <w:szCs w:val="32"/>
              </w:rPr>
            </w:pPr>
            <w:r>
              <w:rPr>
                <w:szCs w:val="32"/>
              </w:rPr>
              <w:t>0.84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3185" w:type="dxa"/>
            <w:vAlign w:val="center"/>
          </w:tcPr>
          <w:p>
            <w:pPr>
              <w:spacing w:line="480" w:lineRule="exact"/>
              <w:jc w:val="center"/>
              <w:rPr>
                <w:szCs w:val="32"/>
              </w:rPr>
            </w:pPr>
            <w:r>
              <w:rPr>
                <w:szCs w:val="32"/>
              </w:rPr>
              <w:t>道路交通万车死亡率</w:t>
            </w:r>
          </w:p>
        </w:tc>
        <w:tc>
          <w:tcPr>
            <w:tcW w:w="2367" w:type="dxa"/>
            <w:vAlign w:val="center"/>
          </w:tcPr>
          <w:p>
            <w:pPr>
              <w:spacing w:line="480" w:lineRule="exact"/>
              <w:jc w:val="center"/>
              <w:rPr>
                <w:szCs w:val="32"/>
              </w:rPr>
            </w:pPr>
            <w:r>
              <w:rPr>
                <w:szCs w:val="32"/>
              </w:rPr>
              <w:t>3.26</w:t>
            </w:r>
          </w:p>
        </w:tc>
        <w:tc>
          <w:tcPr>
            <w:tcW w:w="2143" w:type="dxa"/>
            <w:vAlign w:val="center"/>
          </w:tcPr>
          <w:p>
            <w:pPr>
              <w:spacing w:line="480" w:lineRule="exact"/>
              <w:jc w:val="center"/>
              <w:rPr>
                <w:szCs w:val="32"/>
              </w:rPr>
            </w:pPr>
            <w:r>
              <w:rPr>
                <w:szCs w:val="32"/>
              </w:rPr>
              <w:t>2.11</w:t>
            </w:r>
          </w:p>
        </w:tc>
        <w:tc>
          <w:tcPr>
            <w:tcW w:w="1372" w:type="dxa"/>
            <w:vAlign w:val="center"/>
          </w:tcPr>
          <w:p>
            <w:pPr>
              <w:spacing w:line="480" w:lineRule="exact"/>
              <w:jc w:val="center"/>
              <w:rPr>
                <w:szCs w:val="32"/>
              </w:rPr>
            </w:pPr>
            <w:r>
              <w:rPr>
                <w:szCs w:val="32"/>
              </w:rPr>
              <w:t>1.15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3185" w:type="dxa"/>
            <w:vAlign w:val="center"/>
          </w:tcPr>
          <w:p>
            <w:pPr>
              <w:spacing w:line="480" w:lineRule="exact"/>
              <w:jc w:val="center"/>
              <w:rPr>
                <w:szCs w:val="32"/>
              </w:rPr>
            </w:pPr>
            <w:r>
              <w:rPr>
                <w:szCs w:val="32"/>
              </w:rPr>
              <w:t>煤矿百万吨死亡率</w:t>
            </w:r>
          </w:p>
        </w:tc>
        <w:tc>
          <w:tcPr>
            <w:tcW w:w="2367" w:type="dxa"/>
            <w:vAlign w:val="center"/>
          </w:tcPr>
          <w:p>
            <w:pPr>
              <w:spacing w:line="480" w:lineRule="exact"/>
              <w:jc w:val="center"/>
              <w:rPr>
                <w:szCs w:val="32"/>
              </w:rPr>
            </w:pPr>
            <w:r>
              <w:rPr>
                <w:szCs w:val="32"/>
              </w:rPr>
              <w:t>1.01</w:t>
            </w:r>
          </w:p>
        </w:tc>
        <w:tc>
          <w:tcPr>
            <w:tcW w:w="2143" w:type="dxa"/>
            <w:vAlign w:val="center"/>
          </w:tcPr>
          <w:p>
            <w:pPr>
              <w:spacing w:line="480" w:lineRule="exact"/>
              <w:jc w:val="center"/>
              <w:rPr>
                <w:szCs w:val="32"/>
              </w:rPr>
            </w:pPr>
            <w:r>
              <w:rPr>
                <w:szCs w:val="32"/>
              </w:rPr>
              <w:t>1.46</w:t>
            </w:r>
          </w:p>
        </w:tc>
        <w:tc>
          <w:tcPr>
            <w:tcW w:w="1372" w:type="dxa"/>
            <w:vAlign w:val="center"/>
          </w:tcPr>
          <w:p>
            <w:pPr>
              <w:spacing w:line="480" w:lineRule="exact"/>
              <w:jc w:val="center"/>
              <w:rPr>
                <w:szCs w:val="32"/>
              </w:rPr>
            </w:pPr>
            <w:r>
              <w:rPr>
                <w:szCs w:val="32"/>
              </w:rPr>
              <w:t>—0.35</w:t>
            </w:r>
          </w:p>
        </w:tc>
      </w:tr>
    </w:tbl>
    <w:p>
      <w:pPr>
        <w:ind w:firstLine="640" w:firstLineChars="200"/>
        <w:rPr>
          <w:rFonts w:hint="eastAsia"/>
          <w:szCs w:val="32"/>
        </w:rPr>
      </w:pPr>
      <w:r>
        <w:rPr>
          <w:szCs w:val="32"/>
        </w:rPr>
        <w:t>2</w:t>
      </w:r>
      <w:r>
        <w:rPr>
          <w:rFonts w:hint="eastAsia"/>
          <w:szCs w:val="32"/>
        </w:rPr>
        <w:t>.</w:t>
      </w:r>
      <w:r>
        <w:rPr>
          <w:szCs w:val="32"/>
        </w:rPr>
        <w:t>存在的主要问题</w:t>
      </w:r>
    </w:p>
    <w:p>
      <w:pPr>
        <w:ind w:firstLine="640" w:firstLineChars="200"/>
        <w:rPr>
          <w:szCs w:val="32"/>
        </w:rPr>
      </w:pPr>
      <w:r>
        <w:rPr>
          <w:szCs w:val="32"/>
        </w:rPr>
        <w:t>“十二五”时期诱发生产安全事故的各类因素依旧纷繁复杂，全市“十三五”面临的安全生产形势不容乐观。</w:t>
      </w:r>
    </w:p>
    <w:p>
      <w:pPr>
        <w:ind w:firstLine="640" w:firstLineChars="200"/>
        <w:rPr>
          <w:szCs w:val="32"/>
        </w:rPr>
      </w:pPr>
      <w:r>
        <w:rPr>
          <w:szCs w:val="32"/>
        </w:rPr>
        <w:t>一是安全生产形势仍然严峻。“十二五”期间，全市共发生各类事故 3504起，死亡1393 人，平均每年发生701起、死亡 279人；共发生较大事故 32 起，死亡144人，平均每年发生 6.4起、死亡 29人；重大事故 6 起，死亡 118 人，平均每年发生 1.2 起、死亡 24人。全市事故总量仍居高不下，占全省比重较大，煤矿、道路交通等重点行业和领域安全事故突出，较大事故还比较多，重大事故时有发生，事故多发态势还未得到根本遏制。</w:t>
      </w:r>
    </w:p>
    <w:p>
      <w:pPr>
        <w:ind w:firstLine="640" w:firstLineChars="200"/>
        <w:rPr>
          <w:szCs w:val="32"/>
        </w:rPr>
      </w:pPr>
      <w:r>
        <w:rPr>
          <w:szCs w:val="32"/>
        </w:rPr>
        <w:t>二是安全生产基础依然薄弱。我市高危行业领域和传统产业中劳动力密集、技术落后、安全保障水平低的中小企业仍然大量存在。特别是煤矿、非煤矿山、危险化学品等高危企业数量多、规模小，安全管理落后，安全投入不足，技术装备水平低，小、散、弱、差的状况改变缓慢；高瓦斯矿井和煤与瓦斯突出矿井数量大，灾害十分严重；国省干线、县乡公路急弯陡坡、临水临崖等危险路段和危桥还比较多。</w:t>
      </w:r>
    </w:p>
    <w:p>
      <w:pPr>
        <w:ind w:firstLine="640" w:firstLineChars="200"/>
        <w:rPr>
          <w:szCs w:val="32"/>
        </w:rPr>
      </w:pPr>
      <w:r>
        <w:rPr>
          <w:szCs w:val="32"/>
        </w:rPr>
        <w:t>三是安全监管体制机制尚未完善。部分地方、部门专抓安全生产工作的监管机构不健全，职能发挥及监管责任落实不够，一些环节存在监管缺位、死角，安全综合监管与行业监管职能职责需进一步明确和细化。政府及部门安全管理方式、监管手段还比较落后，安全投入机制还不健全，与新形势、新任务的要求不相适应，过多依赖突击性、运动性的大检查、大行动，长效性的、覆盖全面的、程序明晰的、闭合式的监管方式需进一步探索、完善和运用。</w:t>
      </w:r>
    </w:p>
    <w:p>
      <w:pPr>
        <w:ind w:firstLine="640" w:firstLineChars="200"/>
        <w:rPr>
          <w:szCs w:val="32"/>
        </w:rPr>
      </w:pPr>
      <w:r>
        <w:rPr>
          <w:szCs w:val="32"/>
        </w:rPr>
        <w:t>四是安全生产责任落实仍然不到位。一些地方和部门执行安全生产法律法规不严格，安全把关不严，监管不到位。一些企业主体责任落实不到位，安全管理规章制度形同虚设，安全投入不到位，隐患排查治理不及时、不彻底，工作中违章指挥、违章作业、违反劳动纪律现象仍然突出，由此导致的事故依然是影响安全生产的顽症痼疾。</w:t>
      </w:r>
    </w:p>
    <w:p>
      <w:pPr>
        <w:ind w:firstLine="640" w:firstLineChars="200"/>
        <w:rPr>
          <w:szCs w:val="32"/>
        </w:rPr>
      </w:pPr>
      <w:r>
        <w:rPr>
          <w:szCs w:val="32"/>
        </w:rPr>
        <w:t>五是安全监管职业能力建设还不适应。市、县、乡三级安全监管机构装备配备均达不到国家《安全监管部门基础设施及装备标准》要求，基础设施建设滞后，经费保障不足，监管执法装备配备不到位。职业卫生监管职能划转、机构设置进展缓慢，乡镇（街道）、工业园区安全监管机构设置不健全、人员编制不明确，队伍不稳定，流动频繁，专业培训不足，与繁重的安全生产和职业卫生监管任务不相适应。</w:t>
      </w:r>
    </w:p>
    <w:p>
      <w:pPr>
        <w:ind w:firstLine="640" w:firstLineChars="200"/>
        <w:rPr>
          <w:szCs w:val="32"/>
        </w:rPr>
      </w:pPr>
      <w:r>
        <w:rPr>
          <w:szCs w:val="32"/>
        </w:rPr>
        <w:t>六是安全生产信息化建设滞后。市安全生产综合监管信息化建设起步晚，信息化水平较低，政府、部门、企业相互之间信息传递交流渠道还不畅通，与企业联网监控的功能尚未实现，向其他行业领域辐射还存在很大难度，要实现安全生产信息化管理和安全生产信息、资源共享还任重道远。</w:t>
      </w:r>
    </w:p>
    <w:p>
      <w:pPr>
        <w:ind w:firstLine="640" w:firstLineChars="200"/>
        <w:rPr>
          <w:szCs w:val="32"/>
        </w:rPr>
      </w:pPr>
      <w:r>
        <w:rPr>
          <w:szCs w:val="32"/>
        </w:rPr>
        <w:t>七是安全生产应急救援能力亟待提升。应急救援体制尚未完善，跟不上经济社会快速发展的需要。各行业领域安全生产应急队伍不健全，专业应急队伍力量薄弱，综合性应急救援演练还不到位，先进实用的应急救援设施装备比较缺乏，应对重特大事故灾难的应急保障能力还不强。</w:t>
      </w:r>
    </w:p>
    <w:p>
      <w:pPr>
        <w:ind w:firstLine="640" w:firstLineChars="200"/>
        <w:rPr>
          <w:szCs w:val="32"/>
        </w:rPr>
      </w:pPr>
      <w:r>
        <w:rPr>
          <w:szCs w:val="32"/>
        </w:rPr>
        <w:t>八是社会公众安全健康意识有待提高。安全生产文化建设尚处于起步阶段，安全生产和职业健康宣传教育培训覆盖面还不广，社会公益性安全健康知识和应急救援宣传还不足,许多企业一线员工、学生及其他社会人员，缺乏必要的安全常识，自我防范保护能力较低，社会公众安全健康意识和法制观念有待提高。</w:t>
      </w:r>
    </w:p>
    <w:p>
      <w:pPr>
        <w:ind w:firstLine="640" w:firstLineChars="200"/>
        <w:rPr>
          <w:szCs w:val="32"/>
        </w:rPr>
      </w:pPr>
      <w:r>
        <w:rPr>
          <w:szCs w:val="32"/>
        </w:rPr>
        <w:t>九是职业病防治工作任重道远。部分用人单位职业病防治主体责任落实不到位，许多工业企业特别是中小企业生产工艺落后，设施、设备简陋，投入不足，职业病防治管理水平低。政府部门职业危害监管存在薄弱环节，职业卫生监管工作机构不够健全，基层监管力量薄弱，监管人员严重不足，部门之间工作衔接不够，没有形成合力。矿山、冶金、化工、建材等行业不同程度地存在职业病危害。</w:t>
      </w:r>
    </w:p>
    <w:p>
      <w:pPr>
        <w:ind w:firstLine="640" w:firstLineChars="200"/>
        <w:rPr>
          <w:rFonts w:hint="eastAsia" w:ascii="方正楷体_GBK" w:eastAsia="方正楷体_GBK"/>
          <w:szCs w:val="32"/>
        </w:rPr>
      </w:pPr>
      <w:r>
        <w:rPr>
          <w:rFonts w:hint="eastAsia" w:ascii="方正楷体_GBK" w:eastAsia="方正楷体_GBK"/>
          <w:szCs w:val="32"/>
        </w:rPr>
        <w:t>（二）“十三五”期间面临的机遇和挑战</w:t>
      </w:r>
    </w:p>
    <w:p>
      <w:pPr>
        <w:ind w:firstLine="640" w:firstLineChars="200"/>
        <w:rPr>
          <w:szCs w:val="32"/>
        </w:rPr>
      </w:pPr>
      <w:r>
        <w:rPr>
          <w:szCs w:val="32"/>
        </w:rPr>
        <w:t>1</w:t>
      </w:r>
      <w:r>
        <w:rPr>
          <w:rFonts w:hint="eastAsia"/>
          <w:szCs w:val="32"/>
        </w:rPr>
        <w:t>.</w:t>
      </w:r>
      <w:r>
        <w:rPr>
          <w:szCs w:val="32"/>
        </w:rPr>
        <w:t>发展机遇</w:t>
      </w:r>
    </w:p>
    <w:p>
      <w:pPr>
        <w:ind w:firstLine="640" w:firstLineChars="200"/>
        <w:rPr>
          <w:szCs w:val="32"/>
        </w:rPr>
      </w:pPr>
      <w:r>
        <w:rPr>
          <w:szCs w:val="32"/>
        </w:rPr>
        <w:t>“十三五”时期，是全面建成小康社会的决胜时期，国家确立了创新、协调、绿色、开放、共享的发展理念，全面建成小康社会需要提高安全生产水平，为解决深层次、结构性的安全生产问题创造了有利条件，安全生产工作进入以实现安全发展为目标，推动经济社会发展转型，保障和改善民生的关键时期。</w:t>
      </w:r>
    </w:p>
    <w:p>
      <w:pPr>
        <w:ind w:firstLine="640" w:firstLineChars="200"/>
        <w:rPr>
          <w:szCs w:val="32"/>
        </w:rPr>
      </w:pPr>
      <w:r>
        <w:rPr>
          <w:szCs w:val="32"/>
        </w:rPr>
        <w:t>（1）党中央、国务院的坚强领导，为安全生产指明了正确的方向。习近平总书记、李克强总理等中央领导对安全生产作出一系列重要指示批示，有力推动了安全生产创新发展。“四个全面”战略部署的实施，“发展决不能以牺牲人的生命为代价，这是一条不可逾越的红线”理论的提出，为实施安全发展战略，全方位强化安全生产工作指明了方向。</w:t>
      </w:r>
    </w:p>
    <w:p>
      <w:pPr>
        <w:ind w:firstLine="640" w:firstLineChars="200"/>
        <w:rPr>
          <w:szCs w:val="32"/>
        </w:rPr>
      </w:pPr>
      <w:r>
        <w:rPr>
          <w:szCs w:val="32"/>
        </w:rPr>
        <w:t>（2）全面推进依法治国，为依法治安提供了可靠的法治基础。新《安全生产法》颁布实施和《国务院办公厅关于加强安全生产监管执法的通知》出台，省、市关于加强安全生产监管执法实施办法等地方规章陆续施行，对于全面加强我市安全生产法制建设，全面推进依法治安，强化安全生产监督管理，规范生产经管单位的安全生产，营造良好的安全生产法治环境，提供了坚强的法律支撑。</w:t>
      </w:r>
    </w:p>
    <w:p>
      <w:pPr>
        <w:ind w:firstLine="640" w:firstLineChars="200"/>
        <w:rPr>
          <w:szCs w:val="32"/>
        </w:rPr>
      </w:pPr>
      <w:r>
        <w:rPr>
          <w:szCs w:val="32"/>
        </w:rPr>
        <w:t>（3）安全生产“党政同责”的实施，为强化安全生产工作领导提供了有力的政策支持。《曲靖市安全生产“党政同责”实施办法》的全面实施，进一步明确了党委政府安全生产工作的职责，更大程度地调动党政和社会各方力量参与安全生产，使安全生产的权、责、利更加匹配，为进一步加强党委政府对安全生产工作的领导，落实安全生产责任，提供了有力的政策支持。</w:t>
      </w:r>
    </w:p>
    <w:p>
      <w:pPr>
        <w:spacing w:line="570" w:lineRule="exact"/>
        <w:ind w:firstLine="640" w:firstLineChars="200"/>
        <w:rPr>
          <w:szCs w:val="32"/>
        </w:rPr>
      </w:pPr>
      <w:r>
        <w:rPr>
          <w:szCs w:val="32"/>
        </w:rPr>
        <w:t>（4）城市建设发展能力日益增强，给安全生产提供了坚实的技术支撑。随着国家推进“一带一路”、长江经济带和新一轮西部大开发战略及云南省滇中城市经济圈等战略的实施，曲靖作为滇中城市经济圈一体化建设重要区域，以路网、航空网、水网、能源网、互联网“五网”建设为重点，深入“四城联创”，加快珠江源大城市建设，打造承接东部产业转移的新高地，这些都将给安全生产提供更多更新更好的物质技术支撑。</w:t>
      </w:r>
    </w:p>
    <w:p>
      <w:pPr>
        <w:spacing w:line="570" w:lineRule="exact"/>
        <w:ind w:firstLine="640" w:firstLineChars="200"/>
        <w:rPr>
          <w:szCs w:val="32"/>
        </w:rPr>
      </w:pPr>
      <w:r>
        <w:rPr>
          <w:szCs w:val="32"/>
        </w:rPr>
        <w:t>（5）“十三五”规划发展目标的确定，给安全生产提供了难得的发展机遇。市委市政府制定的国民经济和社会发展“十三五”规划目标，与全国全省同步建成小康社会，把保障人民群众健康和生命安全放在了重要的位置，将安全生产规划列入曲靖重点专项规划，为全市安全生产注入新的强大动力，为安全生产重预防抓治本提供了难得的发展机遇。</w:t>
      </w:r>
    </w:p>
    <w:p>
      <w:pPr>
        <w:spacing w:line="570" w:lineRule="exact"/>
        <w:ind w:firstLine="640" w:firstLineChars="200"/>
        <w:rPr>
          <w:szCs w:val="32"/>
        </w:rPr>
      </w:pPr>
      <w:r>
        <w:rPr>
          <w:szCs w:val="32"/>
        </w:rPr>
        <w:t>2</w:t>
      </w:r>
      <w:r>
        <w:rPr>
          <w:rFonts w:hint="eastAsia"/>
          <w:szCs w:val="32"/>
        </w:rPr>
        <w:t>.</w:t>
      </w:r>
      <w:r>
        <w:rPr>
          <w:szCs w:val="32"/>
        </w:rPr>
        <w:t>面临挑战</w:t>
      </w:r>
    </w:p>
    <w:p>
      <w:pPr>
        <w:spacing w:line="570" w:lineRule="exact"/>
        <w:ind w:firstLine="640" w:firstLineChars="200"/>
        <w:rPr>
          <w:szCs w:val="32"/>
        </w:rPr>
      </w:pPr>
      <w:r>
        <w:rPr>
          <w:szCs w:val="32"/>
        </w:rPr>
        <w:t>随着曲靖市工业化、城镇化、信息化、市场化快速推进，“十三五”时期安全生产工作将面临更多新的挑战。</w:t>
      </w:r>
    </w:p>
    <w:p>
      <w:pPr>
        <w:spacing w:line="570" w:lineRule="exact"/>
        <w:ind w:firstLine="640" w:firstLineChars="200"/>
        <w:rPr>
          <w:szCs w:val="32"/>
        </w:rPr>
      </w:pPr>
      <w:r>
        <w:rPr>
          <w:szCs w:val="32"/>
        </w:rPr>
        <w:t xml:space="preserve">一是工业化城镇化的快速发展，发生事故的风险机率加大。“十三五”期间，随着工业化、城镇化、信息化的加速发展，全市经济社会将处于增速换档、结构优化、动力转换的新常态。城市加快发展、工业加快发展、项目加快建设，与安全保障措施之间的矛盾也将日益突出，经济发展、企业效益与安全发展的不同观念、意识交叉重叠显现，发生事故的风险机率加大。 </w:t>
      </w:r>
    </w:p>
    <w:p>
      <w:pPr>
        <w:spacing w:line="570" w:lineRule="exact"/>
        <w:ind w:firstLine="640" w:firstLineChars="200"/>
        <w:rPr>
          <w:szCs w:val="32"/>
        </w:rPr>
      </w:pPr>
      <w:r>
        <w:rPr>
          <w:szCs w:val="32"/>
        </w:rPr>
        <w:t>二是产业优化升级步伐加快，凸显安全生产工作任务的艰巨。“十三五”期间，我市将有大批的铁路、公路、航空、水利、电力等基础设施建设项目及能源、冶金、化工、建材等重大工程项目开工建设。生产施工建设面宽、线长、量大，新工艺、新材料、新设备、新技术将广泛应用，超大型、高参数、高风险的生产装置、储存装置日益增多，在改善生产生活条件的同时，也带来了一系列新的安全问题，给安全生产提出更新更高要求，安全监管工作任务艰巨。</w:t>
      </w:r>
    </w:p>
    <w:p>
      <w:pPr>
        <w:spacing w:line="570" w:lineRule="exact"/>
        <w:ind w:firstLine="640" w:firstLineChars="200"/>
        <w:rPr>
          <w:szCs w:val="32"/>
        </w:rPr>
      </w:pPr>
      <w:r>
        <w:rPr>
          <w:szCs w:val="32"/>
        </w:rPr>
        <w:t>三是城市危险因素不断涌现，增加了安全生产工作的压力。我市早期规划的城市道路标准低，路面窄，加之人均汽车拥有率成倍增长，事故隐患增多；城市水、电、气、通信等地下、空中管线密布交错，部分设备设施老化，高负荷运转使用，城区内危险有害因素不断涌现，城市“生命线”安全基础脆弱，安全管控难度加大。加之全市工业经济下行压力大，有效需求不足，煤炭、冶金、化工、建材等行业产能过剩，安全投入难以保障，增加了安全生产工作的压力。</w:t>
      </w:r>
    </w:p>
    <w:p>
      <w:pPr>
        <w:spacing w:line="570" w:lineRule="exact"/>
        <w:ind w:firstLine="640" w:firstLineChars="200"/>
        <w:rPr>
          <w:szCs w:val="32"/>
        </w:rPr>
      </w:pPr>
      <w:r>
        <w:rPr>
          <w:szCs w:val="32"/>
        </w:rPr>
        <w:t>四是行政体制改革和政府职能转变，安全监管工作面临新的考验。随着简政放权、深化行政审批制度改革的不断深入，如何严把安全生产市场准入关，强化事中事后监管；如何提升安全监管效能、社会管理和公共服务能力、事故灾难应对处置能力，为企业安全发展科学发展提供高效良好的安全监管服务，是对政府转变安全监管理念和方式的重大挑战，也是对每一个安全监管部门的重大考验和新的挑战。</w:t>
      </w:r>
    </w:p>
    <w:p>
      <w:pPr>
        <w:spacing w:line="570" w:lineRule="exact"/>
        <w:ind w:firstLine="640" w:firstLineChars="200"/>
        <w:rPr>
          <w:szCs w:val="32"/>
        </w:rPr>
      </w:pPr>
      <w:r>
        <w:rPr>
          <w:szCs w:val="32"/>
        </w:rPr>
        <w:t>五是经济社会的发展进步，对安全生产的期待和要求更高。在经济发展新常态下，鼓励“大众创业、万众创新”，小微企业大量涌现，安全生产监管监察范围不断扩大，监管对象不断更新变化，生产经营和人员活动引发事故的风险增大，作为与人民群众生命财产安全和全社会安全稳定密切相关的领域，安全生产社会关注程度将不断提升，社会公众对自身生命健康安全权益的保护意识将不断增强，这要求安全监管部门不断提升安全监管能力和水平。</w:t>
      </w:r>
    </w:p>
    <w:p>
      <w:pPr>
        <w:spacing w:line="570" w:lineRule="exact"/>
        <w:ind w:firstLine="640" w:firstLineChars="200"/>
        <w:rPr>
          <w:spacing w:val="-6"/>
          <w:szCs w:val="32"/>
        </w:rPr>
      </w:pPr>
      <w:r>
        <w:rPr>
          <w:szCs w:val="32"/>
        </w:rPr>
        <w:t>综上所述，“十三五”期间，曲靖市安全生产既要解决遗留问题，又要处理新的矛盾，需采取行之有效的措施减少事故的发生，</w:t>
      </w:r>
      <w:r>
        <w:rPr>
          <w:spacing w:val="-6"/>
          <w:szCs w:val="32"/>
        </w:rPr>
        <w:t>同时要抓住难得的发展机遇，努力实现安全生产状况的根本好转。</w:t>
      </w:r>
    </w:p>
    <w:p>
      <w:pPr>
        <w:spacing w:line="570" w:lineRule="exact"/>
        <w:ind w:firstLine="640" w:firstLineChars="200"/>
        <w:rPr>
          <w:rFonts w:hint="eastAsia" w:ascii="方正黑体_GBK" w:eastAsia="方正黑体_GBK"/>
          <w:szCs w:val="32"/>
        </w:rPr>
      </w:pPr>
      <w:r>
        <w:rPr>
          <w:rFonts w:hint="eastAsia" w:ascii="方正黑体_GBK" w:eastAsia="方正黑体_GBK"/>
          <w:szCs w:val="32"/>
        </w:rPr>
        <w:t>二、指导思想、主要目标</w:t>
      </w:r>
    </w:p>
    <w:p>
      <w:pPr>
        <w:spacing w:line="570" w:lineRule="exact"/>
        <w:ind w:firstLine="640" w:firstLineChars="200"/>
        <w:rPr>
          <w:rFonts w:hint="eastAsia" w:ascii="方正楷体_GBK" w:eastAsia="方正楷体_GBK"/>
          <w:szCs w:val="32"/>
        </w:rPr>
      </w:pPr>
      <w:r>
        <w:rPr>
          <w:rFonts w:hint="eastAsia" w:ascii="方正楷体_GBK" w:eastAsia="方正楷体_GBK"/>
          <w:szCs w:val="32"/>
        </w:rPr>
        <w:t>（一）指导思想</w:t>
      </w:r>
    </w:p>
    <w:p>
      <w:pPr>
        <w:spacing w:line="570" w:lineRule="exact"/>
        <w:ind w:firstLine="640" w:firstLineChars="200"/>
        <w:rPr>
          <w:szCs w:val="32"/>
        </w:rPr>
      </w:pPr>
      <w:r>
        <w:rPr>
          <w:szCs w:val="32"/>
        </w:rPr>
        <w:t>以“四个全面”战略布局为统领，切实将“创新、协调、绿色、开放和共享”五大发展理念贯彻到安全生产中，牢固树立安全发展理念，坚持人民利益至上，以实现安全生产形势持续稳定好转为目标，以深化改革创新为动力，以全面推进依法治安为主题，以创建国家安全发展示范城市为抓手，着力建设安全生产责任体系、安全监管基层基础体系、隐患排查治理和预防控制体系、应急救援保障体系，着力提升安全治理法治化、科技化、社会化水平，推动安全生产工作在抓根本、管长远上取得新成效，促进安全生产状况根本好转，确保到“十三五”期末，全市安全生产形势与全面建成小康社会相适应，为全市经济社会持续健康发展，与全国、全省同步全面建成小康社会提供有力的安全生产保障。</w:t>
      </w:r>
    </w:p>
    <w:p>
      <w:pPr>
        <w:spacing w:line="570" w:lineRule="exact"/>
        <w:ind w:firstLine="640" w:firstLineChars="200"/>
        <w:rPr>
          <w:rFonts w:hint="eastAsia" w:ascii="方正楷体_GBK" w:eastAsia="方正楷体_GBK"/>
          <w:szCs w:val="32"/>
        </w:rPr>
      </w:pPr>
      <w:r>
        <w:rPr>
          <w:rFonts w:hint="eastAsia" w:ascii="方正楷体_GBK" w:eastAsia="方正楷体_GBK"/>
          <w:szCs w:val="32"/>
        </w:rPr>
        <w:t>（二）基本原则</w:t>
      </w:r>
    </w:p>
    <w:p>
      <w:pPr>
        <w:spacing w:line="570" w:lineRule="exact"/>
        <w:ind w:firstLine="640" w:firstLineChars="200"/>
        <w:rPr>
          <w:szCs w:val="32"/>
        </w:rPr>
      </w:pPr>
      <w:r>
        <w:rPr>
          <w:szCs w:val="32"/>
        </w:rPr>
        <w:t>1</w:t>
      </w:r>
      <w:r>
        <w:rPr>
          <w:rFonts w:hint="eastAsia"/>
          <w:szCs w:val="32"/>
        </w:rPr>
        <w:t>.</w:t>
      </w:r>
      <w:r>
        <w:rPr>
          <w:szCs w:val="32"/>
        </w:rPr>
        <w:t>坚持依法治安。加强安全生产监管执法，坚持运用法治思维和法治方式履行职责，推进安全监管标准、程序、结果公开，实现安全监管手段向依法治理转变。</w:t>
      </w:r>
    </w:p>
    <w:p>
      <w:pPr>
        <w:spacing w:line="570" w:lineRule="exact"/>
        <w:ind w:firstLine="640" w:firstLineChars="200"/>
        <w:rPr>
          <w:szCs w:val="32"/>
        </w:rPr>
      </w:pPr>
      <w:r>
        <w:rPr>
          <w:szCs w:val="32"/>
        </w:rPr>
        <w:t>2</w:t>
      </w:r>
      <w:r>
        <w:rPr>
          <w:rFonts w:hint="eastAsia"/>
          <w:szCs w:val="32"/>
        </w:rPr>
        <w:t>.</w:t>
      </w:r>
      <w:r>
        <w:rPr>
          <w:szCs w:val="32"/>
        </w:rPr>
        <w:t>坚持责任落实。严格落实安全生产责任，对安全生产失职渎职行为，严格追究责任，依法严肃处理，通过以案追责，问责到底，形成人人有责、人人尽责的安全生产格局。</w:t>
      </w:r>
    </w:p>
    <w:p>
      <w:pPr>
        <w:spacing w:line="570" w:lineRule="exact"/>
        <w:ind w:firstLine="640" w:firstLineChars="200"/>
        <w:rPr>
          <w:szCs w:val="32"/>
        </w:rPr>
      </w:pPr>
      <w:r>
        <w:rPr>
          <w:szCs w:val="32"/>
        </w:rPr>
        <w:t>3</w:t>
      </w:r>
      <w:r>
        <w:rPr>
          <w:rFonts w:hint="eastAsia"/>
          <w:szCs w:val="32"/>
        </w:rPr>
        <w:t>.</w:t>
      </w:r>
      <w:r>
        <w:rPr>
          <w:szCs w:val="32"/>
        </w:rPr>
        <w:t>坚持基础为先。强化基层基础，加强基层安全监管</w:t>
      </w:r>
    </w:p>
    <w:p>
      <w:pPr>
        <w:spacing w:line="570" w:lineRule="exact"/>
        <w:ind w:firstLine="640" w:firstLineChars="200"/>
        <w:rPr>
          <w:szCs w:val="32"/>
        </w:rPr>
      </w:pPr>
      <w:r>
        <w:rPr>
          <w:szCs w:val="32"/>
        </w:rPr>
        <w:t>部门机构、队伍和装备建设，加强重点行业领域安全生产工作，全面提升安全生产标准化创建水平。</w:t>
      </w:r>
    </w:p>
    <w:p>
      <w:pPr>
        <w:spacing w:line="570" w:lineRule="exact"/>
        <w:ind w:firstLine="640" w:firstLineChars="200"/>
        <w:rPr>
          <w:szCs w:val="32"/>
        </w:rPr>
      </w:pPr>
      <w:r>
        <w:rPr>
          <w:szCs w:val="32"/>
        </w:rPr>
        <w:t>4</w:t>
      </w:r>
      <w:r>
        <w:rPr>
          <w:rFonts w:hint="eastAsia"/>
          <w:szCs w:val="32"/>
        </w:rPr>
        <w:t>.</w:t>
      </w:r>
      <w:r>
        <w:rPr>
          <w:szCs w:val="32"/>
        </w:rPr>
        <w:t>坚持科技兴安。发挥互联网+、大数据等在安全生产宣传教育、监管执法、风险防控、隐患整治、危险源监控和</w:t>
      </w:r>
    </w:p>
    <w:p>
      <w:pPr>
        <w:spacing w:line="570" w:lineRule="exact"/>
        <w:ind w:firstLine="640" w:firstLineChars="200"/>
        <w:rPr>
          <w:szCs w:val="32"/>
        </w:rPr>
      </w:pPr>
      <w:r>
        <w:rPr>
          <w:szCs w:val="32"/>
        </w:rPr>
        <w:t>事故调查中的作用，大力推进安全生产信息化建设。</w:t>
      </w:r>
    </w:p>
    <w:p>
      <w:pPr>
        <w:spacing w:line="570" w:lineRule="exact"/>
        <w:ind w:firstLine="640" w:firstLineChars="200"/>
        <w:rPr>
          <w:szCs w:val="32"/>
        </w:rPr>
      </w:pPr>
      <w:r>
        <w:rPr>
          <w:szCs w:val="32"/>
        </w:rPr>
        <w:t>5</w:t>
      </w:r>
      <w:r>
        <w:rPr>
          <w:rFonts w:hint="eastAsia"/>
          <w:szCs w:val="32"/>
        </w:rPr>
        <w:t>.</w:t>
      </w:r>
      <w:r>
        <w:rPr>
          <w:szCs w:val="32"/>
        </w:rPr>
        <w:t>坚持改革创新。坚持目标和问题导向，针对薄弱环节，明确优先顺序，创新监管方式，激发市场主体活力，注重依靠科技支撑、信息化管理，推动安全生产治理现代化。</w:t>
      </w:r>
    </w:p>
    <w:p>
      <w:pPr>
        <w:spacing w:line="570" w:lineRule="exact"/>
        <w:ind w:firstLine="640" w:firstLineChars="200"/>
        <w:rPr>
          <w:szCs w:val="32"/>
        </w:rPr>
      </w:pPr>
      <w:r>
        <w:rPr>
          <w:szCs w:val="32"/>
        </w:rPr>
        <w:t>6</w:t>
      </w:r>
      <w:r>
        <w:rPr>
          <w:rFonts w:hint="eastAsia"/>
          <w:szCs w:val="32"/>
        </w:rPr>
        <w:t>.</w:t>
      </w:r>
      <w:r>
        <w:rPr>
          <w:szCs w:val="32"/>
        </w:rPr>
        <w:t>坚持齐抓共享。坚持以人为本，统筹规划，建立健全各级各部门各单位间联动机制，动员全社会共同参与，整合各方资源，实现安全生产监管资源信息共建共享。</w:t>
      </w:r>
    </w:p>
    <w:p>
      <w:pPr>
        <w:spacing w:line="570" w:lineRule="exact"/>
        <w:ind w:firstLine="640" w:firstLineChars="200"/>
        <w:rPr>
          <w:rFonts w:hint="eastAsia" w:ascii="方正楷体_GBK" w:eastAsia="方正楷体_GBK"/>
          <w:szCs w:val="32"/>
        </w:rPr>
      </w:pPr>
      <w:bookmarkStart w:id="2" w:name="_Toc449540612"/>
      <w:r>
        <w:rPr>
          <w:rFonts w:hint="eastAsia" w:ascii="方正楷体_GBK" w:eastAsia="方正楷体_GBK"/>
          <w:szCs w:val="32"/>
        </w:rPr>
        <w:t>（三）规划目标</w:t>
      </w:r>
      <w:bookmarkEnd w:id="2"/>
      <w:r>
        <w:rPr>
          <w:rFonts w:hint="eastAsia" w:ascii="方正楷体_GBK" w:eastAsia="方正楷体_GBK"/>
          <w:szCs w:val="32"/>
        </w:rPr>
        <w:t xml:space="preserve"> </w:t>
      </w:r>
    </w:p>
    <w:p>
      <w:pPr>
        <w:spacing w:line="570" w:lineRule="exact"/>
        <w:ind w:firstLine="640" w:firstLineChars="200"/>
        <w:rPr>
          <w:szCs w:val="32"/>
        </w:rPr>
      </w:pPr>
      <w:r>
        <w:rPr>
          <w:szCs w:val="32"/>
        </w:rPr>
        <w:t>——总体目标：到2020年，全市安全生产总体工作目标是“一绝两升三保四降”，“一绝”即力争杜绝重特大事故；“两升”即全面提升安全生产监管水平，全面提升企业本质安全水平；“三保”即确保不突破省里下达的控制指标，确保全市安全生产形势平稳可控，确保全面完成年度各项安全生产目标任务；“四降”即力争事故发生总数、死亡人数、受伤人数、经济损失数持续降低，努力为全市经济社会持续健康发展提供安全生产保障。</w:t>
      </w:r>
    </w:p>
    <w:p>
      <w:pPr>
        <w:spacing w:line="570" w:lineRule="exact"/>
        <w:ind w:firstLine="640" w:firstLineChars="200"/>
        <w:rPr>
          <w:szCs w:val="32"/>
        </w:rPr>
      </w:pPr>
      <w:r>
        <w:rPr>
          <w:szCs w:val="32"/>
        </w:rPr>
        <w:t>——分类目标：共10项，综合类控制指标4项，行业（领域）控制指标6项。具体指标内容如下表：</w:t>
      </w:r>
    </w:p>
    <w:p>
      <w:pPr>
        <w:jc w:val="center"/>
        <w:rPr>
          <w:b/>
          <w:szCs w:val="32"/>
        </w:rPr>
      </w:pPr>
      <w:r>
        <w:rPr>
          <w:b/>
          <w:szCs w:val="32"/>
        </w:rPr>
        <w:t>表6：“十三五”时期安全生产规划指标</w:t>
      </w:r>
    </w:p>
    <w:tbl>
      <w:tblPr>
        <w:tblStyle w:val="3"/>
        <w:tblW w:w="0" w:type="auto"/>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828"/>
        <w:gridCol w:w="6226"/>
        <w:gridCol w:w="1843"/>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58" w:hRule="atLeast"/>
        </w:trPr>
        <w:tc>
          <w:tcPr>
            <w:tcW w:w="828" w:type="dxa"/>
            <w:vAlign w:val="center"/>
          </w:tcPr>
          <w:p>
            <w:pPr>
              <w:spacing w:line="480" w:lineRule="exact"/>
              <w:jc w:val="center"/>
              <w:rPr>
                <w:sz w:val="28"/>
                <w:szCs w:val="28"/>
              </w:rPr>
            </w:pPr>
            <w:r>
              <w:rPr>
                <w:sz w:val="28"/>
                <w:szCs w:val="28"/>
              </w:rPr>
              <w:t>序号</w:t>
            </w:r>
          </w:p>
        </w:tc>
        <w:tc>
          <w:tcPr>
            <w:tcW w:w="6226" w:type="dxa"/>
            <w:vAlign w:val="center"/>
          </w:tcPr>
          <w:p>
            <w:pPr>
              <w:spacing w:line="480" w:lineRule="exact"/>
              <w:jc w:val="center"/>
              <w:rPr>
                <w:sz w:val="28"/>
                <w:szCs w:val="28"/>
              </w:rPr>
            </w:pPr>
            <w:r>
              <w:rPr>
                <w:sz w:val="28"/>
                <w:szCs w:val="28"/>
              </w:rPr>
              <w:t>指标内容</w:t>
            </w:r>
          </w:p>
        </w:tc>
        <w:tc>
          <w:tcPr>
            <w:tcW w:w="1843" w:type="dxa"/>
            <w:vAlign w:val="center"/>
          </w:tcPr>
          <w:p>
            <w:pPr>
              <w:spacing w:line="480" w:lineRule="exact"/>
              <w:jc w:val="center"/>
              <w:rPr>
                <w:sz w:val="28"/>
                <w:szCs w:val="28"/>
              </w:rPr>
            </w:pPr>
            <w:r>
              <w:rPr>
                <w:sz w:val="28"/>
                <w:szCs w:val="28"/>
              </w:rPr>
              <w:t>降幅</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0" w:hRule="atLeast"/>
        </w:trPr>
        <w:tc>
          <w:tcPr>
            <w:tcW w:w="828" w:type="dxa"/>
            <w:tcBorders>
              <w:bottom w:val="single" w:color="auto" w:sz="4" w:space="0"/>
            </w:tcBorders>
            <w:vAlign w:val="center"/>
          </w:tcPr>
          <w:p>
            <w:pPr>
              <w:spacing w:line="480" w:lineRule="exact"/>
              <w:jc w:val="center"/>
              <w:rPr>
                <w:sz w:val="28"/>
                <w:szCs w:val="28"/>
              </w:rPr>
            </w:pPr>
            <w:r>
              <w:rPr>
                <w:sz w:val="28"/>
                <w:szCs w:val="28"/>
              </w:rPr>
              <w:t>1</w:t>
            </w:r>
          </w:p>
        </w:tc>
        <w:tc>
          <w:tcPr>
            <w:tcW w:w="6226" w:type="dxa"/>
            <w:tcBorders>
              <w:bottom w:val="single" w:color="auto" w:sz="4" w:space="0"/>
            </w:tcBorders>
            <w:vAlign w:val="center"/>
          </w:tcPr>
          <w:p>
            <w:pPr>
              <w:spacing w:line="480" w:lineRule="exact"/>
              <w:rPr>
                <w:sz w:val="28"/>
                <w:szCs w:val="28"/>
              </w:rPr>
            </w:pPr>
            <w:r>
              <w:rPr>
                <w:sz w:val="28"/>
                <w:szCs w:val="28"/>
              </w:rPr>
              <w:t>生产安全事故起数</w:t>
            </w:r>
          </w:p>
        </w:tc>
        <w:tc>
          <w:tcPr>
            <w:tcW w:w="1843" w:type="dxa"/>
            <w:tcBorders>
              <w:bottom w:val="single" w:color="auto" w:sz="4" w:space="0"/>
            </w:tcBorders>
            <w:vAlign w:val="center"/>
          </w:tcPr>
          <w:p>
            <w:pPr>
              <w:spacing w:line="480" w:lineRule="exact"/>
              <w:jc w:val="center"/>
              <w:rPr>
                <w:sz w:val="28"/>
                <w:szCs w:val="28"/>
              </w:rPr>
            </w:pPr>
            <w:r>
              <w:rPr>
                <w:sz w:val="28"/>
                <w:szCs w:val="28"/>
              </w:rPr>
              <w:t>15%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70" w:hRule="atLeast"/>
        </w:trPr>
        <w:tc>
          <w:tcPr>
            <w:tcW w:w="828" w:type="dxa"/>
            <w:tcBorders>
              <w:top w:val="single" w:color="auto" w:sz="4" w:space="0"/>
              <w:bottom w:val="single" w:color="auto" w:sz="4" w:space="0"/>
            </w:tcBorders>
            <w:vAlign w:val="center"/>
          </w:tcPr>
          <w:p>
            <w:pPr>
              <w:spacing w:line="480" w:lineRule="exact"/>
              <w:jc w:val="center"/>
              <w:rPr>
                <w:sz w:val="28"/>
                <w:szCs w:val="28"/>
              </w:rPr>
            </w:pPr>
            <w:r>
              <w:rPr>
                <w:sz w:val="28"/>
                <w:szCs w:val="28"/>
              </w:rPr>
              <w:t>2</w:t>
            </w:r>
          </w:p>
        </w:tc>
        <w:tc>
          <w:tcPr>
            <w:tcW w:w="6226" w:type="dxa"/>
            <w:tcBorders>
              <w:top w:val="single" w:color="auto" w:sz="4" w:space="0"/>
              <w:bottom w:val="single" w:color="auto" w:sz="4" w:space="0"/>
            </w:tcBorders>
            <w:vAlign w:val="center"/>
          </w:tcPr>
          <w:p>
            <w:pPr>
              <w:spacing w:line="480" w:lineRule="exact"/>
              <w:rPr>
                <w:sz w:val="28"/>
                <w:szCs w:val="28"/>
              </w:rPr>
            </w:pPr>
            <w:r>
              <w:rPr>
                <w:sz w:val="28"/>
                <w:szCs w:val="28"/>
              </w:rPr>
              <w:t>生产安全事故死亡人数</w:t>
            </w:r>
          </w:p>
        </w:tc>
        <w:tc>
          <w:tcPr>
            <w:tcW w:w="1843" w:type="dxa"/>
            <w:tcBorders>
              <w:top w:val="single" w:color="auto" w:sz="4" w:space="0"/>
              <w:bottom w:val="single" w:color="auto" w:sz="4" w:space="0"/>
            </w:tcBorders>
            <w:vAlign w:val="center"/>
          </w:tcPr>
          <w:p>
            <w:pPr>
              <w:spacing w:line="480" w:lineRule="exact"/>
              <w:jc w:val="center"/>
              <w:rPr>
                <w:sz w:val="28"/>
                <w:szCs w:val="28"/>
              </w:rPr>
            </w:pPr>
            <w:r>
              <w:rPr>
                <w:sz w:val="28"/>
                <w:szCs w:val="28"/>
              </w:rPr>
              <w:t>15%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73" w:hRule="atLeast"/>
        </w:trPr>
        <w:tc>
          <w:tcPr>
            <w:tcW w:w="828" w:type="dxa"/>
            <w:tcBorders>
              <w:top w:val="single" w:color="auto" w:sz="4" w:space="0"/>
            </w:tcBorders>
            <w:vAlign w:val="center"/>
          </w:tcPr>
          <w:p>
            <w:pPr>
              <w:spacing w:line="480" w:lineRule="exact"/>
              <w:jc w:val="center"/>
              <w:rPr>
                <w:sz w:val="28"/>
                <w:szCs w:val="28"/>
              </w:rPr>
            </w:pPr>
            <w:r>
              <w:rPr>
                <w:sz w:val="28"/>
                <w:szCs w:val="28"/>
              </w:rPr>
              <w:t>3</w:t>
            </w:r>
          </w:p>
        </w:tc>
        <w:tc>
          <w:tcPr>
            <w:tcW w:w="6226" w:type="dxa"/>
            <w:tcBorders>
              <w:top w:val="single" w:color="auto" w:sz="4" w:space="0"/>
            </w:tcBorders>
            <w:vAlign w:val="center"/>
          </w:tcPr>
          <w:p>
            <w:pPr>
              <w:spacing w:line="480" w:lineRule="exact"/>
              <w:rPr>
                <w:sz w:val="28"/>
                <w:szCs w:val="28"/>
              </w:rPr>
            </w:pPr>
            <w:r>
              <w:rPr>
                <w:sz w:val="28"/>
                <w:szCs w:val="28"/>
              </w:rPr>
              <w:t>较大以上事故起数</w:t>
            </w:r>
          </w:p>
        </w:tc>
        <w:tc>
          <w:tcPr>
            <w:tcW w:w="1843" w:type="dxa"/>
            <w:tcBorders>
              <w:top w:val="single" w:color="auto" w:sz="4" w:space="0"/>
            </w:tcBorders>
            <w:vAlign w:val="center"/>
          </w:tcPr>
          <w:p>
            <w:pPr>
              <w:spacing w:line="480" w:lineRule="exact"/>
              <w:jc w:val="center"/>
              <w:rPr>
                <w:sz w:val="28"/>
                <w:szCs w:val="28"/>
              </w:rPr>
            </w:pPr>
            <w:r>
              <w:rPr>
                <w:sz w:val="28"/>
                <w:szCs w:val="28"/>
              </w:rPr>
              <w:t>15%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97" w:hRule="atLeast"/>
        </w:trPr>
        <w:tc>
          <w:tcPr>
            <w:tcW w:w="828" w:type="dxa"/>
            <w:tcBorders>
              <w:bottom w:val="single" w:color="auto" w:sz="4" w:space="0"/>
            </w:tcBorders>
            <w:vAlign w:val="center"/>
          </w:tcPr>
          <w:p>
            <w:pPr>
              <w:spacing w:line="480" w:lineRule="exact"/>
              <w:jc w:val="center"/>
              <w:rPr>
                <w:sz w:val="28"/>
                <w:szCs w:val="28"/>
              </w:rPr>
            </w:pPr>
            <w:r>
              <w:rPr>
                <w:sz w:val="28"/>
                <w:szCs w:val="28"/>
              </w:rPr>
              <w:t>4</w:t>
            </w:r>
          </w:p>
        </w:tc>
        <w:tc>
          <w:tcPr>
            <w:tcW w:w="6226" w:type="dxa"/>
            <w:tcBorders>
              <w:bottom w:val="single" w:color="auto" w:sz="4" w:space="0"/>
            </w:tcBorders>
            <w:vAlign w:val="center"/>
          </w:tcPr>
          <w:p>
            <w:pPr>
              <w:spacing w:line="480" w:lineRule="exact"/>
              <w:rPr>
                <w:sz w:val="28"/>
                <w:szCs w:val="28"/>
              </w:rPr>
            </w:pPr>
            <w:r>
              <w:rPr>
                <w:sz w:val="28"/>
                <w:szCs w:val="28"/>
              </w:rPr>
              <w:t>亿元全市生产总值生产安全事故死亡率</w:t>
            </w:r>
          </w:p>
        </w:tc>
        <w:tc>
          <w:tcPr>
            <w:tcW w:w="1843" w:type="dxa"/>
            <w:tcBorders>
              <w:bottom w:val="single" w:color="auto" w:sz="4" w:space="0"/>
            </w:tcBorders>
            <w:vAlign w:val="center"/>
          </w:tcPr>
          <w:p>
            <w:pPr>
              <w:spacing w:line="480" w:lineRule="exact"/>
              <w:jc w:val="center"/>
              <w:rPr>
                <w:sz w:val="28"/>
                <w:szCs w:val="28"/>
              </w:rPr>
            </w:pPr>
            <w:r>
              <w:rPr>
                <w:sz w:val="28"/>
                <w:szCs w:val="28"/>
              </w:rPr>
              <w:t>30%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45" w:hRule="atLeast"/>
        </w:trPr>
        <w:tc>
          <w:tcPr>
            <w:tcW w:w="828" w:type="dxa"/>
            <w:tcBorders>
              <w:top w:val="single" w:color="auto" w:sz="4" w:space="0"/>
            </w:tcBorders>
            <w:vAlign w:val="center"/>
          </w:tcPr>
          <w:p>
            <w:pPr>
              <w:spacing w:line="480" w:lineRule="exact"/>
              <w:jc w:val="center"/>
              <w:rPr>
                <w:sz w:val="28"/>
                <w:szCs w:val="28"/>
              </w:rPr>
            </w:pPr>
            <w:r>
              <w:rPr>
                <w:sz w:val="28"/>
                <w:szCs w:val="28"/>
              </w:rPr>
              <w:t>5</w:t>
            </w:r>
          </w:p>
        </w:tc>
        <w:tc>
          <w:tcPr>
            <w:tcW w:w="6226" w:type="dxa"/>
            <w:tcBorders>
              <w:top w:val="single" w:color="auto" w:sz="4" w:space="0"/>
            </w:tcBorders>
            <w:vAlign w:val="center"/>
          </w:tcPr>
          <w:p>
            <w:pPr>
              <w:spacing w:line="480" w:lineRule="exact"/>
              <w:rPr>
                <w:sz w:val="28"/>
                <w:szCs w:val="28"/>
              </w:rPr>
            </w:pPr>
            <w:r>
              <w:rPr>
                <w:sz w:val="28"/>
                <w:szCs w:val="28"/>
              </w:rPr>
              <w:t>工矿商贸就业人员十万人生产安全事故死亡率</w:t>
            </w:r>
          </w:p>
        </w:tc>
        <w:tc>
          <w:tcPr>
            <w:tcW w:w="1843" w:type="dxa"/>
            <w:tcBorders>
              <w:top w:val="single" w:color="auto" w:sz="4" w:space="0"/>
            </w:tcBorders>
            <w:vAlign w:val="center"/>
          </w:tcPr>
          <w:p>
            <w:pPr>
              <w:spacing w:line="480" w:lineRule="exact"/>
              <w:jc w:val="center"/>
              <w:rPr>
                <w:sz w:val="28"/>
                <w:szCs w:val="28"/>
              </w:rPr>
            </w:pPr>
            <w:r>
              <w:rPr>
                <w:sz w:val="28"/>
                <w:szCs w:val="28"/>
              </w:rPr>
              <w:t>20%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05" w:hRule="atLeast"/>
        </w:trPr>
        <w:tc>
          <w:tcPr>
            <w:tcW w:w="828" w:type="dxa"/>
            <w:vAlign w:val="center"/>
          </w:tcPr>
          <w:p>
            <w:pPr>
              <w:spacing w:line="480" w:lineRule="exact"/>
              <w:jc w:val="center"/>
              <w:rPr>
                <w:sz w:val="28"/>
                <w:szCs w:val="28"/>
              </w:rPr>
            </w:pPr>
            <w:r>
              <w:rPr>
                <w:sz w:val="28"/>
                <w:szCs w:val="28"/>
              </w:rPr>
              <w:t>6</w:t>
            </w:r>
          </w:p>
        </w:tc>
        <w:tc>
          <w:tcPr>
            <w:tcW w:w="6226" w:type="dxa"/>
            <w:vAlign w:val="center"/>
          </w:tcPr>
          <w:p>
            <w:pPr>
              <w:spacing w:line="480" w:lineRule="exact"/>
              <w:rPr>
                <w:sz w:val="28"/>
                <w:szCs w:val="28"/>
              </w:rPr>
            </w:pPr>
            <w:r>
              <w:rPr>
                <w:sz w:val="28"/>
                <w:szCs w:val="28"/>
              </w:rPr>
              <w:t>道路交通万车死亡率</w:t>
            </w:r>
          </w:p>
        </w:tc>
        <w:tc>
          <w:tcPr>
            <w:tcW w:w="1843" w:type="dxa"/>
            <w:vAlign w:val="center"/>
          </w:tcPr>
          <w:p>
            <w:pPr>
              <w:spacing w:line="480" w:lineRule="exact"/>
              <w:jc w:val="center"/>
              <w:rPr>
                <w:sz w:val="28"/>
                <w:szCs w:val="28"/>
              </w:rPr>
            </w:pPr>
            <w:r>
              <w:rPr>
                <w:sz w:val="28"/>
                <w:szCs w:val="28"/>
              </w:rPr>
              <w:t>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99" w:hRule="atLeast"/>
        </w:trPr>
        <w:tc>
          <w:tcPr>
            <w:tcW w:w="828" w:type="dxa"/>
            <w:vAlign w:val="center"/>
          </w:tcPr>
          <w:p>
            <w:pPr>
              <w:spacing w:line="480" w:lineRule="exact"/>
              <w:jc w:val="center"/>
              <w:rPr>
                <w:sz w:val="28"/>
                <w:szCs w:val="28"/>
              </w:rPr>
            </w:pPr>
            <w:r>
              <w:rPr>
                <w:sz w:val="28"/>
                <w:szCs w:val="28"/>
              </w:rPr>
              <w:t>7</w:t>
            </w:r>
          </w:p>
        </w:tc>
        <w:tc>
          <w:tcPr>
            <w:tcW w:w="6226" w:type="dxa"/>
            <w:vAlign w:val="center"/>
          </w:tcPr>
          <w:p>
            <w:pPr>
              <w:spacing w:line="480" w:lineRule="exact"/>
              <w:rPr>
                <w:sz w:val="28"/>
                <w:szCs w:val="28"/>
              </w:rPr>
            </w:pPr>
            <w:r>
              <w:rPr>
                <w:sz w:val="28"/>
                <w:szCs w:val="28"/>
              </w:rPr>
              <w:t>煤矿百万吨死亡率</w:t>
            </w:r>
          </w:p>
        </w:tc>
        <w:tc>
          <w:tcPr>
            <w:tcW w:w="1843" w:type="dxa"/>
            <w:vAlign w:val="center"/>
          </w:tcPr>
          <w:p>
            <w:pPr>
              <w:spacing w:line="480" w:lineRule="exact"/>
              <w:jc w:val="center"/>
              <w:rPr>
                <w:sz w:val="28"/>
                <w:szCs w:val="28"/>
              </w:rPr>
            </w:pPr>
            <w:r>
              <w:rPr>
                <w:sz w:val="28"/>
                <w:szCs w:val="28"/>
              </w:rPr>
              <w:t>20%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07" w:hRule="atLeast"/>
        </w:trPr>
        <w:tc>
          <w:tcPr>
            <w:tcW w:w="828" w:type="dxa"/>
            <w:vAlign w:val="center"/>
          </w:tcPr>
          <w:p>
            <w:pPr>
              <w:spacing w:line="480" w:lineRule="exact"/>
              <w:jc w:val="center"/>
              <w:rPr>
                <w:sz w:val="28"/>
                <w:szCs w:val="28"/>
              </w:rPr>
            </w:pPr>
            <w:r>
              <w:rPr>
                <w:sz w:val="28"/>
                <w:szCs w:val="28"/>
              </w:rPr>
              <w:t>8</w:t>
            </w:r>
          </w:p>
        </w:tc>
        <w:tc>
          <w:tcPr>
            <w:tcW w:w="6226" w:type="dxa"/>
            <w:vAlign w:val="center"/>
          </w:tcPr>
          <w:p>
            <w:pPr>
              <w:spacing w:line="480" w:lineRule="exact"/>
              <w:rPr>
                <w:sz w:val="28"/>
                <w:szCs w:val="28"/>
              </w:rPr>
            </w:pPr>
            <w:r>
              <w:rPr>
                <w:sz w:val="28"/>
                <w:szCs w:val="28"/>
              </w:rPr>
              <w:t>消防（火灾）十万人口死亡率</w:t>
            </w:r>
          </w:p>
        </w:tc>
        <w:tc>
          <w:tcPr>
            <w:tcW w:w="1843" w:type="dxa"/>
            <w:vAlign w:val="center"/>
          </w:tcPr>
          <w:p>
            <w:pPr>
              <w:spacing w:line="480" w:lineRule="exact"/>
              <w:jc w:val="center"/>
              <w:rPr>
                <w:sz w:val="28"/>
                <w:szCs w:val="28"/>
              </w:rPr>
            </w:pPr>
            <w:r>
              <w:rPr>
                <w:sz w:val="28"/>
                <w:szCs w:val="28"/>
              </w:rPr>
              <w:t>10%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85" w:hRule="atLeast"/>
        </w:trPr>
        <w:tc>
          <w:tcPr>
            <w:tcW w:w="828" w:type="dxa"/>
            <w:tcBorders>
              <w:bottom w:val="single" w:color="auto" w:sz="4" w:space="0"/>
            </w:tcBorders>
            <w:vAlign w:val="center"/>
          </w:tcPr>
          <w:p>
            <w:pPr>
              <w:spacing w:line="480" w:lineRule="exact"/>
              <w:jc w:val="center"/>
              <w:rPr>
                <w:sz w:val="28"/>
                <w:szCs w:val="28"/>
              </w:rPr>
            </w:pPr>
            <w:r>
              <w:rPr>
                <w:sz w:val="28"/>
                <w:szCs w:val="28"/>
              </w:rPr>
              <w:t>9</w:t>
            </w:r>
          </w:p>
        </w:tc>
        <w:tc>
          <w:tcPr>
            <w:tcW w:w="6226" w:type="dxa"/>
            <w:tcBorders>
              <w:bottom w:val="single" w:color="auto" w:sz="4" w:space="0"/>
            </w:tcBorders>
            <w:vAlign w:val="center"/>
          </w:tcPr>
          <w:p>
            <w:pPr>
              <w:spacing w:line="480" w:lineRule="exact"/>
              <w:rPr>
                <w:sz w:val="28"/>
                <w:szCs w:val="28"/>
              </w:rPr>
            </w:pPr>
            <w:r>
              <w:rPr>
                <w:sz w:val="28"/>
                <w:szCs w:val="28"/>
              </w:rPr>
              <w:t>特种设备万台死亡率</w:t>
            </w:r>
          </w:p>
        </w:tc>
        <w:tc>
          <w:tcPr>
            <w:tcW w:w="1843" w:type="dxa"/>
            <w:tcBorders>
              <w:bottom w:val="single" w:color="auto" w:sz="4" w:space="0"/>
            </w:tcBorders>
            <w:vAlign w:val="center"/>
          </w:tcPr>
          <w:p>
            <w:pPr>
              <w:spacing w:line="480" w:lineRule="exact"/>
              <w:jc w:val="center"/>
              <w:rPr>
                <w:sz w:val="28"/>
                <w:szCs w:val="28"/>
              </w:rPr>
            </w:pPr>
            <w:r>
              <w:rPr>
                <w:sz w:val="28"/>
                <w:szCs w:val="28"/>
              </w:rPr>
              <w:t>15%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42" w:hRule="atLeast"/>
        </w:trPr>
        <w:tc>
          <w:tcPr>
            <w:tcW w:w="828" w:type="dxa"/>
            <w:tcBorders>
              <w:top w:val="single" w:color="auto" w:sz="4" w:space="0"/>
              <w:bottom w:val="single" w:color="auto" w:sz="8" w:space="0"/>
            </w:tcBorders>
            <w:vAlign w:val="center"/>
          </w:tcPr>
          <w:p>
            <w:pPr>
              <w:spacing w:line="480" w:lineRule="exact"/>
              <w:jc w:val="center"/>
              <w:rPr>
                <w:sz w:val="28"/>
                <w:szCs w:val="28"/>
              </w:rPr>
            </w:pPr>
            <w:r>
              <w:rPr>
                <w:sz w:val="28"/>
                <w:szCs w:val="28"/>
              </w:rPr>
              <w:t>10</w:t>
            </w:r>
          </w:p>
        </w:tc>
        <w:tc>
          <w:tcPr>
            <w:tcW w:w="6226" w:type="dxa"/>
            <w:tcBorders>
              <w:top w:val="single" w:color="auto" w:sz="4" w:space="0"/>
              <w:bottom w:val="single" w:color="auto" w:sz="8" w:space="0"/>
            </w:tcBorders>
            <w:vAlign w:val="center"/>
          </w:tcPr>
          <w:p>
            <w:pPr>
              <w:spacing w:line="480" w:lineRule="exact"/>
              <w:rPr>
                <w:sz w:val="28"/>
                <w:szCs w:val="28"/>
              </w:rPr>
            </w:pPr>
            <w:r>
              <w:rPr>
                <w:sz w:val="28"/>
                <w:szCs w:val="28"/>
              </w:rPr>
              <w:t>职业健康检查10万人新发职业病率</w:t>
            </w:r>
          </w:p>
        </w:tc>
        <w:tc>
          <w:tcPr>
            <w:tcW w:w="1843" w:type="dxa"/>
            <w:tcBorders>
              <w:top w:val="single" w:color="auto" w:sz="4" w:space="0"/>
              <w:bottom w:val="single" w:color="auto" w:sz="8" w:space="0"/>
            </w:tcBorders>
            <w:vAlign w:val="center"/>
          </w:tcPr>
          <w:p>
            <w:pPr>
              <w:spacing w:line="480" w:lineRule="exact"/>
              <w:jc w:val="center"/>
              <w:rPr>
                <w:sz w:val="28"/>
                <w:szCs w:val="28"/>
              </w:rPr>
            </w:pPr>
            <w:r>
              <w:rPr>
                <w:sz w:val="28"/>
                <w:szCs w:val="28"/>
              </w:rPr>
              <w:t>5%</w:t>
            </w:r>
          </w:p>
        </w:tc>
      </w:tr>
    </w:tbl>
    <w:p>
      <w:pPr>
        <w:spacing w:line="570" w:lineRule="exact"/>
        <w:ind w:firstLine="640" w:firstLineChars="200"/>
        <w:rPr>
          <w:rFonts w:hint="eastAsia" w:ascii="方正黑体_GBK" w:eastAsia="方正黑体_GBK"/>
          <w:szCs w:val="32"/>
        </w:rPr>
      </w:pPr>
      <w:r>
        <w:rPr>
          <w:rFonts w:hint="eastAsia" w:ascii="方正黑体_GBK" w:eastAsia="方正黑体_GBK"/>
          <w:szCs w:val="32"/>
        </w:rPr>
        <w:t>三、主要任务</w:t>
      </w:r>
    </w:p>
    <w:p>
      <w:pPr>
        <w:spacing w:line="570" w:lineRule="exact"/>
        <w:ind w:firstLine="640" w:firstLineChars="200"/>
        <w:rPr>
          <w:rFonts w:hint="eastAsia" w:ascii="方正楷体_GBK" w:eastAsia="方正楷体_GBK"/>
          <w:szCs w:val="32"/>
        </w:rPr>
      </w:pPr>
      <w:r>
        <w:rPr>
          <w:rFonts w:hint="eastAsia" w:ascii="方正楷体_GBK" w:eastAsia="方正楷体_GBK"/>
          <w:szCs w:val="32"/>
        </w:rPr>
        <w:t>（一）健全安全监管体制  强化安全责任落实</w:t>
      </w:r>
    </w:p>
    <w:p>
      <w:pPr>
        <w:spacing w:line="570" w:lineRule="exact"/>
        <w:ind w:firstLine="640" w:firstLineChars="200"/>
        <w:rPr>
          <w:szCs w:val="32"/>
        </w:rPr>
      </w:pPr>
      <w:r>
        <w:rPr>
          <w:szCs w:val="32"/>
        </w:rPr>
        <w:t>1.强化安全监管责任。全面建立“党政同责、一岗双责、齐抓共管、失职追责”的安全生产责任体系，落实党委政府领导责任，严格落实领导干部安全生产“一岗双责”制度。按照“三个必须”要求，厘清、规范和细化安全生产综合监管部门和行业安全管理部门安全生产监管责任和权利边界。提高政府安全生产委员会及其办公室的综合协调能力和执行力，建立安全生产巡查制度，重点抓好县、乡两级政府安全生产属地管理责任、部门监管责任的落实，推动市、县（市、区）、乡镇（街道）及各部门安全监管规范化建设。继续将安全生产责任纳入党委和政府绩效考核范围，严格考核，重奖重惩，实现安全生产“四级五覆盖”，做到市、县、乡、村党政同管、同抓、同责。</w:t>
      </w:r>
    </w:p>
    <w:p>
      <w:pPr>
        <w:spacing w:line="570" w:lineRule="exact"/>
        <w:ind w:firstLine="640" w:firstLineChars="200"/>
        <w:rPr>
          <w:szCs w:val="32"/>
        </w:rPr>
      </w:pPr>
      <w:r>
        <w:rPr>
          <w:szCs w:val="32"/>
        </w:rPr>
        <w:t>2.强化企业主体责任落实。积极推进“1+3+5”安全生产大检查长效机制落实，加大安全生产监管执法力度，依法督促企业严格履行法定责任和义务，全面排查整改事故隐患，建立自我约束、持续改进的工作机制。积极推进企业安全生产标准化建设，着力推动企业做到“五落实五到位”，把安全生产主体责任落到实处，有效防范各类事故发生。</w:t>
      </w:r>
    </w:p>
    <w:p>
      <w:pPr>
        <w:spacing w:line="570" w:lineRule="exact"/>
        <w:ind w:firstLine="640" w:firstLineChars="200"/>
        <w:rPr>
          <w:szCs w:val="32"/>
        </w:rPr>
      </w:pPr>
      <w:r>
        <w:rPr>
          <w:szCs w:val="32"/>
        </w:rPr>
        <w:t>3.建立安全生产诚信体系。推进安全生产诚信体系建设，建立完善企业及社会组织安全生产承诺、不良信用记录、“黑名单”公示、诚信评价、诚信报告等制度。以自然人、法人和其他组织统一社会信用代码为基础，构建企业安全生产诚信数据，建立健全安全生产诚信档案。依法对失信企业进行惩戒约束，形成守信者受益、失信者严惩的良性机制，促进企业依法依规、诚实守信、安全生产。</w:t>
      </w:r>
    </w:p>
    <w:p>
      <w:pPr>
        <w:spacing w:line="570" w:lineRule="exact"/>
        <w:ind w:firstLine="640" w:firstLineChars="200"/>
        <w:rPr>
          <w:szCs w:val="32"/>
        </w:rPr>
      </w:pPr>
      <w:bookmarkStart w:id="3" w:name="_Toc16058"/>
      <w:bookmarkStart w:id="4" w:name="_Toc17151"/>
      <w:bookmarkStart w:id="5" w:name="_Toc456107429"/>
      <w:r>
        <w:rPr>
          <w:szCs w:val="32"/>
        </w:rPr>
        <w:t>4.推动</w:t>
      </w:r>
      <w:bookmarkEnd w:id="3"/>
      <w:bookmarkEnd w:id="4"/>
      <w:r>
        <w:rPr>
          <w:szCs w:val="32"/>
        </w:rPr>
        <w:t>安全生产社会治理</w:t>
      </w:r>
      <w:bookmarkEnd w:id="5"/>
      <w:r>
        <w:rPr>
          <w:szCs w:val="32"/>
        </w:rPr>
        <w:t>。建立第三方参与安全生产监管的服务机制，逐步将行业自律工作移交社会组织。充分运用市场机制培育扶持行业协会、中介服务组织和注册安全工程师等参与安全生产工作。有效利用社会组织在安全生产方面的技术资源和专业特长，采取以政府购买社会服务等方式，选择社会组织中介服务，对企业安全生产进行检查排查、鉴定评定和技术指导，为政府安全监管提供技术支撑，并作为对企业实施行政执法的依据。</w:t>
      </w:r>
    </w:p>
    <w:p>
      <w:pPr>
        <w:spacing w:line="570" w:lineRule="exact"/>
        <w:ind w:firstLine="640" w:firstLineChars="200"/>
        <w:rPr>
          <w:szCs w:val="32"/>
        </w:rPr>
      </w:pPr>
      <w:r>
        <w:rPr>
          <w:szCs w:val="32"/>
        </w:rPr>
        <w:t>5.严格安全生产责任追究。建立健全安全生产警示和约谈制度，严肃安全生产工作问责。健全事故信息直报和责任追究机制，严肃查处事故迟报、漏报、谎报或者瞒报行为。建立一般事故调查处理挂牌督办、提级调查制度，依法抓好较大生产安全事故的调查处理，及时向社会公布事故调查报告，并组织开展事故整改措施落实情况评估。研究制定失职追责具体措施办法，实行重大生产安全事故“一票否决”。</w:t>
      </w:r>
    </w:p>
    <w:p>
      <w:pPr>
        <w:spacing w:line="570" w:lineRule="exact"/>
        <w:ind w:firstLine="640" w:firstLineChars="200"/>
        <w:rPr>
          <w:rFonts w:hint="eastAsia" w:ascii="方正楷体_GBK" w:eastAsia="方正楷体_GBK"/>
          <w:szCs w:val="32"/>
        </w:rPr>
      </w:pPr>
      <w:r>
        <w:rPr>
          <w:rFonts w:hint="eastAsia" w:ascii="方正楷体_GBK" w:eastAsia="方正楷体_GBK"/>
          <w:szCs w:val="32"/>
        </w:rPr>
        <w:t>（二）加强安全法制建设，规范</w:t>
      </w:r>
      <w:r>
        <w:fldChar w:fldCharType="begin"/>
      </w:r>
      <w:r>
        <w:instrText xml:space="preserve"> HYPERLINK "javascript:SLC(161150,0)" </w:instrText>
      </w:r>
      <w:r>
        <w:fldChar w:fldCharType="separate"/>
      </w:r>
      <w:r>
        <w:rPr>
          <w:rFonts w:hint="eastAsia" w:ascii="方正楷体_GBK" w:eastAsia="方正楷体_GBK"/>
        </w:rPr>
        <w:t>安全法</w:t>
      </w:r>
      <w:r>
        <w:rPr>
          <w:rFonts w:hint="eastAsia" w:ascii="方正楷体_GBK" w:eastAsia="方正楷体_GBK"/>
        </w:rPr>
        <w:fldChar w:fldCharType="end"/>
      </w:r>
      <w:r>
        <w:rPr>
          <w:rFonts w:hint="eastAsia" w:ascii="方正楷体_GBK" w:eastAsia="方正楷体_GBK"/>
          <w:szCs w:val="32"/>
        </w:rPr>
        <w:t>治秩序</w:t>
      </w:r>
    </w:p>
    <w:p>
      <w:pPr>
        <w:spacing w:line="570" w:lineRule="exact"/>
        <w:ind w:firstLine="640" w:firstLineChars="200"/>
        <w:rPr>
          <w:szCs w:val="32"/>
        </w:rPr>
      </w:pPr>
      <w:r>
        <w:rPr>
          <w:szCs w:val="32"/>
        </w:rPr>
        <w:t>1.健全地方安全制度标准。全面贯彻落实新《安全生产法》和《国务院办公厅关于加强安全生产监管执法的通知》，大力推行国家安全生产强制性标准，结合本地安全生产工作实际，研究制定实施办法和地方制度标准。推动各安全监管部门建立完善安全生产监管执法制度和程序，及时清理部门安全生产规范性文件，保障权力规范运行，促进全市安全生产工作法制化、制度化、规范化。</w:t>
      </w:r>
    </w:p>
    <w:p>
      <w:pPr>
        <w:spacing w:line="570" w:lineRule="exact"/>
        <w:ind w:firstLine="640" w:firstLineChars="200"/>
        <w:rPr>
          <w:szCs w:val="32"/>
        </w:rPr>
      </w:pPr>
      <w:bookmarkStart w:id="6" w:name="_Toc19066"/>
      <w:r>
        <w:rPr>
          <w:szCs w:val="32"/>
        </w:rPr>
        <w:t>2.加强监管执法机构建设</w:t>
      </w:r>
      <w:bookmarkEnd w:id="6"/>
      <w:r>
        <w:rPr>
          <w:szCs w:val="32"/>
        </w:rPr>
        <w:t>。加强市、县两级安全生产监管执法力量，有序推进乡镇（街道）、经济开发区、工业园区安监机构建设，全市所有乡镇（街道）和工业园区建立独立的安全生产监管执法机构，统一执法机构性质和名称。结合各县（市、区）实际，增加一定编制，充实安全监管人员，配备监管执法装备，落实安监人员津贴，保障工作经费，建立与全市经济社会发展情况相适应的安全监管执法队伍。</w:t>
      </w:r>
    </w:p>
    <w:p>
      <w:pPr>
        <w:spacing w:line="570" w:lineRule="exact"/>
        <w:ind w:firstLine="640" w:firstLineChars="200"/>
        <w:rPr>
          <w:szCs w:val="32"/>
        </w:rPr>
      </w:pPr>
      <w:r>
        <w:rPr>
          <w:szCs w:val="32"/>
        </w:rPr>
        <w:t>3.规范安全生产行政行为。建立各职能部门安全监管权力清单、责任清单和负面清单，明确安全生产行政执法职责、范围和任务。优化细化行政许可、执法检查工作流程，规范行政执法行为。进一步取消或下放安全生产行政审批事项，推进安全生产行政许可网上审批。制定完善事中和事后监管办法，推行行政执法文书电子化，实现安全监管执法全过程痕迹化管理。2018年底前，所有执法人员配备使用便携式移动执法终端，切实做到严格执法、科学执法、文明执法。</w:t>
      </w:r>
    </w:p>
    <w:p>
      <w:pPr>
        <w:spacing w:line="570" w:lineRule="exact"/>
        <w:ind w:firstLine="640" w:firstLineChars="200"/>
        <w:rPr>
          <w:szCs w:val="32"/>
        </w:rPr>
      </w:pPr>
      <w:r>
        <w:rPr>
          <w:szCs w:val="32"/>
        </w:rPr>
        <w:t>4.强化安全生产监管执法。建立完善安全生产打非治违长效机制，严格实施停产整顿、关闭取缔、上限处罚、追究法律责任“四个一律”治理措施。创新监管执法方式，完善“四不两直”暗查暗访工作机制，建立双随机抽查、分类分级监管和安全生产与职业卫生一体化监管执法制度，对企业实行差异化管理和执法检查。科学编制和严格落实年度执法计划。改进安全生产大检查方式方法，推动安全生产大检查和安全生产巡查工作常态化和规范化。加强部门联合执法，建立安全监管执法机构与公安、检察机关安全生产案情通报机制，对各类安全生产非法违法行为，依法依规从严查处。</w:t>
      </w:r>
    </w:p>
    <w:p>
      <w:pPr>
        <w:spacing w:line="570" w:lineRule="exact"/>
        <w:ind w:firstLine="640" w:firstLineChars="200"/>
        <w:rPr>
          <w:szCs w:val="32"/>
        </w:rPr>
      </w:pPr>
      <w:r>
        <w:rPr>
          <w:szCs w:val="32"/>
        </w:rPr>
        <w:t>5.搭建社会安全监督平台。拓宽和畅通社会参与安全生产的渠道，发挥新闻媒体的正面引导和舆论监督作用，建立完善安全生产新闻发言人、新闻发布会、信息公开、事故救援工作报道机制。完善安全生产事故隐患和非法违法行为举报奖励办法，健全12350电话、网络、信访举报投诉平台，加大奖励力度，提高举报、受理、处置效率，形成及时发现、及时处置、共同查堵安全漏洞和隐患的快速反应机制，健立社会共治体系。</w:t>
      </w:r>
    </w:p>
    <w:p>
      <w:pPr>
        <w:spacing w:line="570" w:lineRule="exact"/>
        <w:ind w:firstLine="640" w:firstLineChars="200"/>
        <w:rPr>
          <w:rFonts w:hint="eastAsia" w:ascii="方正楷体_GBK" w:eastAsia="方正楷体_GBK"/>
          <w:szCs w:val="32"/>
        </w:rPr>
      </w:pPr>
      <w:r>
        <w:rPr>
          <w:rFonts w:hint="eastAsia" w:ascii="方正楷体_GBK" w:eastAsia="方正楷体_GBK"/>
          <w:szCs w:val="32"/>
        </w:rPr>
        <w:t>（三）夯实安全基层基础，提高安全治理水平</w:t>
      </w:r>
    </w:p>
    <w:p>
      <w:pPr>
        <w:spacing w:line="570" w:lineRule="exact"/>
        <w:ind w:firstLine="640" w:firstLineChars="200"/>
        <w:rPr>
          <w:szCs w:val="32"/>
        </w:rPr>
      </w:pPr>
      <w:r>
        <w:rPr>
          <w:szCs w:val="32"/>
        </w:rPr>
        <w:t>1</w:t>
      </w:r>
      <w:r>
        <w:rPr>
          <w:rFonts w:hint="eastAsia"/>
          <w:szCs w:val="32"/>
        </w:rPr>
        <w:t>.</w:t>
      </w:r>
      <w:r>
        <w:rPr>
          <w:szCs w:val="32"/>
        </w:rPr>
        <w:t xml:space="preserve">全面推进标准化达标升级。把安全标准化创建贯穿于企业生产管理的全方位、全过程，夯实企业安全生产基础。认真治理三级达标企业，坚决淘汰不达标企业，鼓励现有条件较好的三级达标企业创建二级达标，二级达标企业向一级国标努力，基本实现辖区重点监管企业安全生产标准化全覆盖。到2020年，全市煤矿、道路交通、非煤矿山、危险化学品、烟花爆竹、建筑施工及规模以上工贸企业通过一级标准化考评达20家以上、通过二级标准化考评达80家以上，其余全部达三级标准化。 </w:t>
      </w:r>
    </w:p>
    <w:p>
      <w:pPr>
        <w:spacing w:line="570" w:lineRule="exact"/>
        <w:ind w:firstLine="640" w:firstLineChars="200"/>
        <w:rPr>
          <w:spacing w:val="-6"/>
          <w:szCs w:val="32"/>
        </w:rPr>
      </w:pPr>
      <w:r>
        <w:rPr>
          <w:szCs w:val="32"/>
        </w:rPr>
        <w:t>2</w:t>
      </w:r>
      <w:r>
        <w:rPr>
          <w:rFonts w:hint="eastAsia"/>
          <w:szCs w:val="32"/>
        </w:rPr>
        <w:t>.</w:t>
      </w:r>
      <w:r>
        <w:rPr>
          <w:szCs w:val="32"/>
        </w:rPr>
        <w:t>推进安全生产网格化管理。将安全生产网格化纳入“数字曲靖”建设系统，实施互联网+安全监管系统建设，依托云南省安监局“1+3+5”安全生产大检查长效机制平台，推动市、县、乡三级安监部门及行业监管部门建立健全网格单位安全生产信息库，细化网格单位信息，落实安全管理职责。建立健全安全生产网格化巡查机制，实施重点单位、重点目标、重点场所量化巡查，推动安全生产监管“重心下移、关口前移”，重点解决基础信息和安全管理职责落实问题。到2020</w:t>
      </w:r>
      <w:r>
        <w:rPr>
          <w:spacing w:val="-6"/>
          <w:szCs w:val="32"/>
        </w:rPr>
        <w:t>年建成“横向到边、纵向到底”的安全生产网格化管理防控体系。</w:t>
      </w:r>
    </w:p>
    <w:p>
      <w:pPr>
        <w:spacing w:line="570" w:lineRule="exact"/>
        <w:ind w:firstLine="640" w:firstLineChars="200"/>
        <w:rPr>
          <w:szCs w:val="32"/>
        </w:rPr>
      </w:pPr>
      <w:r>
        <w:rPr>
          <w:szCs w:val="32"/>
        </w:rPr>
        <w:t>3</w:t>
      </w:r>
      <w:r>
        <w:rPr>
          <w:rFonts w:hint="eastAsia"/>
          <w:szCs w:val="32"/>
        </w:rPr>
        <w:t>.</w:t>
      </w:r>
      <w:r>
        <w:rPr>
          <w:szCs w:val="32"/>
        </w:rPr>
        <w:t>创建安全发展示范城市。结合市委市政府提出的“四城联创”工作，将安全生产工作从企业的安全生产提升到城市安全的层面，全面启动安全发展示范县（市、区）、安全示范乡镇、示范社区（村）及安全文化创建活动。加强组织领导，统筹部署规划，全面动员各级、各部门、企事业单位和全社会共同参与，积极争取、有效搭建起国家、省战略支持平台，加快城市安全基础设施建设，着力创建国家安全发展示范城市。争取到2020年，全市60%以上的中心城镇达到安全示范标准，全市达到国家安全发展示范城市创建标准。</w:t>
      </w:r>
    </w:p>
    <w:p>
      <w:pPr>
        <w:spacing w:line="570" w:lineRule="exact"/>
        <w:ind w:firstLine="640" w:firstLineChars="200"/>
        <w:rPr>
          <w:rFonts w:hint="eastAsia" w:ascii="方正楷体_GBK" w:eastAsia="方正楷体_GBK"/>
          <w:szCs w:val="32"/>
        </w:rPr>
      </w:pPr>
      <w:r>
        <w:rPr>
          <w:rFonts w:hint="eastAsia" w:ascii="方正楷体_GBK" w:eastAsia="方正楷体_GBK"/>
          <w:szCs w:val="32"/>
        </w:rPr>
        <w:t>（四）深化重点领域整治，防范生产安全事故</w:t>
      </w:r>
    </w:p>
    <w:p>
      <w:pPr>
        <w:spacing w:line="570" w:lineRule="exact"/>
        <w:ind w:firstLine="640" w:firstLineChars="200"/>
        <w:rPr>
          <w:szCs w:val="32"/>
        </w:rPr>
      </w:pPr>
      <w:r>
        <w:rPr>
          <w:szCs w:val="32"/>
        </w:rPr>
        <w:t>坚持常态化安全生产专项整治，深入开展煤矿、道路交通、非煤矿山、危险化学品、消防等重点领域安全生产专项治理，坚决遏制较大以上事故发生。</w:t>
      </w:r>
    </w:p>
    <w:p>
      <w:pPr>
        <w:spacing w:line="570" w:lineRule="exact"/>
        <w:ind w:firstLine="640" w:firstLineChars="200"/>
        <w:rPr>
          <w:szCs w:val="32"/>
        </w:rPr>
      </w:pPr>
      <w:r>
        <w:rPr>
          <w:szCs w:val="32"/>
        </w:rPr>
        <w:t>1.煤矿。强力推进煤炭资源整合、煤矿企业兼并重组和改造升级步伐，通过“整合重组一批、改造升级一批、整顿关闭一批”，全面完成国家、省下达的煤矿关闭整合任务及转型升级目标。加快实施13类落后小煤矿，以及开采范围与自然保护区、风景名胜区、饮用水水源保护区等区域重叠的煤矿，产能小于30万吨/年且发生重大及以上安全生产责任事故的煤矿，产能15万吨/年及以下且发生较大及以上安全生产责任事故的煤矿，以及采用国家明令禁止使用的采煤方法、工艺且无法实施技术改造的煤矿的关闭退出。强化对煤矿的日常安全监管，严把复产复建关。严格落实瓦斯、水害、火灾、顶板等防治措施，加大煤矿隐患排查整改力度，严格控制井下作业人数。以建设安全标准化、管理规范化、采掘机械化、监控网络信息化矿井为目标，深化瓦斯综合治理，淘汰落后采煤方法和支护方式，积极推进煤矿机械化、自动化改造。实施煤矿安全生产信息化平台建设。到2018年，全市煤矿完成井下安全避险“六大系统”建设，所有煤矿全部达安全标准化；到2020年，全市煤矿矿井采煤机械化程度达到100%以上，二级安全标准化矿井达10%以上。</w:t>
      </w:r>
    </w:p>
    <w:tbl>
      <w:tblPr>
        <w:tblStyle w:val="3"/>
        <w:tblW w:w="0" w:type="auto"/>
        <w:tblInd w:w="0"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
      <w:tblGrid>
        <w:gridCol w:w="8852"/>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8852" w:type="dxa"/>
            <w:tcBorders>
              <w:top w:val="outset" w:color="auto" w:sz="6" w:space="0"/>
              <w:left w:val="outset" w:color="auto" w:sz="6" w:space="0"/>
              <w:bottom w:val="outset" w:color="auto" w:sz="6" w:space="0"/>
              <w:right w:val="outset" w:color="auto" w:sz="6" w:space="0"/>
            </w:tcBorders>
            <w:vAlign w:val="center"/>
          </w:tcPr>
          <w:p>
            <w:pPr>
              <w:jc w:val="center"/>
              <w:rPr>
                <w:b/>
                <w:szCs w:val="32"/>
              </w:rPr>
            </w:pPr>
            <w:r>
              <w:rPr>
                <w:b/>
                <w:szCs w:val="32"/>
              </w:rPr>
              <w:t>专栏1    防范煤矿事故重点地区</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8852" w:type="dxa"/>
            <w:tcBorders>
              <w:top w:val="outset" w:color="auto" w:sz="6" w:space="0"/>
              <w:left w:val="outset" w:color="auto" w:sz="6" w:space="0"/>
              <w:bottom w:val="outset" w:color="auto" w:sz="6" w:space="0"/>
              <w:right w:val="outset" w:color="auto" w:sz="6" w:space="0"/>
            </w:tcBorders>
            <w:vAlign w:val="center"/>
          </w:tcPr>
          <w:p>
            <w:pPr>
              <w:ind w:firstLine="640" w:firstLineChars="200"/>
              <w:rPr>
                <w:szCs w:val="32"/>
              </w:rPr>
            </w:pPr>
            <w:r>
              <w:rPr>
                <w:szCs w:val="32"/>
              </w:rPr>
              <w:t>事故防范重点地区：富源、宣威、麒麟、师宗、罗平。                             瓦斯治理重点地区：富源、宣威、麒麟、师宗、罗平。</w:t>
            </w:r>
          </w:p>
          <w:p>
            <w:pPr>
              <w:ind w:firstLine="640" w:firstLineChars="200"/>
              <w:rPr>
                <w:szCs w:val="32"/>
              </w:rPr>
            </w:pPr>
            <w:r>
              <w:rPr>
                <w:szCs w:val="32"/>
              </w:rPr>
              <w:t>水害治理重点地区：沾益、富源、宣威、麒麟、师宗。</w:t>
            </w:r>
          </w:p>
        </w:tc>
      </w:tr>
    </w:tbl>
    <w:p>
      <w:pPr>
        <w:ind w:firstLine="640" w:firstLineChars="200"/>
        <w:rPr>
          <w:szCs w:val="32"/>
        </w:rPr>
      </w:pPr>
      <w:r>
        <w:rPr>
          <w:szCs w:val="32"/>
        </w:rPr>
        <w:t>2.道路交通。持续推进公路安全生命防护工程建设，加强道路交通枢纽、临水临崖、事故高发路段、乡村公路及山区旅游景点、重点工程项目建设工地道路等隐患排查治理力度。落实新建、扩建、改建道路安全设施“三同时”制度，全面完善国省道、主干道和市、县城区道路中央隔离、夜间照明等设施建设，增补、更新、完善道路交通标志、标线。加强对高速公路、危险路段和恶劣天气条件下的路面管控，提升道路安全管理水平。建立公路交通安全防控体系，积极整合交通、公安、安监、气象等部门资源，推进高速公路、国省干道智能监控系统建设，完成全覆盖的公路交通监控系统和市、县、乡三级道路交通指挥体系及交警执法站建设。利用互联网交通安全综合服务平台，强化道路交通执法管理，强化道路运输企业GPS监控平台的规范使用管理，突出公路客运、旅游客运、校车、危险品运输、“营转非”大中型客车、面包车及其驾驶人员的管理，加强对车辆行使速度、驾驶人连续驾驶时间及其他驾驶状态的动态监控。加大执法检查力度，严厉查处整治酒后驾驶、疲劳驾驶、超速、超员、超载、无证驾驶和经营等各类交通违法行为。深化道路交通安全管理市、县、乡、村四级社会化组织体系和责任机制建设，切实推动属地责任落实。继续加大“丘北经验”推广力度，逐步完善农村道路和交通安全基础设施，构建农村道路交通安全防控网络。持续开展全社会交通安全知识普及宣传，提高广大交通参与者的交通安全意识。</w:t>
      </w:r>
    </w:p>
    <w:tbl>
      <w:tblPr>
        <w:tblStyle w:val="3"/>
        <w:tblW w:w="0" w:type="auto"/>
        <w:tblInd w:w="0" w:type="dxa"/>
        <w:tblLayout w:type="fixed"/>
        <w:tblCellMar>
          <w:top w:w="0" w:type="dxa"/>
          <w:left w:w="0" w:type="dxa"/>
          <w:bottom w:w="0" w:type="dxa"/>
          <w:right w:w="0" w:type="dxa"/>
        </w:tblCellMar>
      </w:tblPr>
      <w:tblGrid>
        <w:gridCol w:w="8952"/>
      </w:tblGrid>
      <w:tr>
        <w:tblPrEx>
          <w:tblCellMar>
            <w:top w:w="0" w:type="dxa"/>
            <w:left w:w="0" w:type="dxa"/>
            <w:bottom w:w="0" w:type="dxa"/>
            <w:right w:w="0" w:type="dxa"/>
          </w:tblCellMar>
        </w:tblPrEx>
        <w:tc>
          <w:tcPr>
            <w:tcW w:w="8952" w:type="dxa"/>
            <w:tcBorders>
              <w:top w:val="single" w:color="auto" w:sz="8" w:space="0"/>
              <w:left w:val="single" w:color="auto" w:sz="8" w:space="0"/>
              <w:bottom w:val="single" w:color="auto" w:sz="4" w:space="0"/>
              <w:right w:val="single" w:color="auto" w:sz="8" w:space="0"/>
            </w:tcBorders>
            <w:tcMar>
              <w:top w:w="0" w:type="dxa"/>
              <w:left w:w="108" w:type="dxa"/>
              <w:bottom w:w="0" w:type="dxa"/>
              <w:right w:w="108" w:type="dxa"/>
            </w:tcMar>
          </w:tcPr>
          <w:p>
            <w:pPr>
              <w:jc w:val="center"/>
              <w:rPr>
                <w:b/>
                <w:szCs w:val="32"/>
              </w:rPr>
            </w:pPr>
            <w:r>
              <w:rPr>
                <w:b/>
                <w:szCs w:val="32"/>
              </w:rPr>
              <w:t>专栏2  防范道路交通重特大事故重点地区和重点工程</w:t>
            </w:r>
          </w:p>
        </w:tc>
      </w:tr>
      <w:tr>
        <w:tblPrEx>
          <w:tblCellMar>
            <w:top w:w="0" w:type="dxa"/>
            <w:left w:w="0" w:type="dxa"/>
            <w:bottom w:w="0" w:type="dxa"/>
            <w:right w:w="0" w:type="dxa"/>
          </w:tblCellMar>
        </w:tblPrEx>
        <w:tc>
          <w:tcPr>
            <w:tcW w:w="8952" w:type="dxa"/>
            <w:tcBorders>
              <w:top w:val="single" w:color="auto" w:sz="4" w:space="0"/>
              <w:left w:val="single" w:color="auto" w:sz="8" w:space="0"/>
              <w:bottom w:val="single" w:color="auto" w:sz="8" w:space="0"/>
              <w:right w:val="single" w:color="auto" w:sz="8" w:space="0"/>
            </w:tcBorders>
            <w:tcMar>
              <w:top w:w="0" w:type="dxa"/>
              <w:left w:w="108" w:type="dxa"/>
              <w:bottom w:w="0" w:type="dxa"/>
              <w:right w:w="108" w:type="dxa"/>
            </w:tcMar>
          </w:tcPr>
          <w:p>
            <w:pPr>
              <w:ind w:firstLine="640" w:firstLineChars="200"/>
              <w:rPr>
                <w:szCs w:val="32"/>
              </w:rPr>
            </w:pPr>
            <w:r>
              <w:rPr>
                <w:szCs w:val="32"/>
              </w:rPr>
              <w:t>重点地区：麒麟、会泽、宣威、沾益、罗平、陆良、高管大队。</w:t>
            </w:r>
          </w:p>
          <w:p>
            <w:pPr>
              <w:ind w:firstLine="640" w:firstLineChars="200"/>
              <w:rPr>
                <w:spacing w:val="-8"/>
                <w:szCs w:val="32"/>
              </w:rPr>
            </w:pPr>
            <w:r>
              <w:rPr>
                <w:szCs w:val="32"/>
              </w:rPr>
              <w:t>重点时段：</w:t>
            </w:r>
            <w:r>
              <w:rPr>
                <w:spacing w:val="-8"/>
                <w:szCs w:val="32"/>
              </w:rPr>
              <w:t>各个节假日、秋冬雨雪冰冻时期，每年春运期间。</w:t>
            </w:r>
          </w:p>
          <w:p>
            <w:pPr>
              <w:ind w:firstLine="640" w:firstLineChars="200"/>
              <w:rPr>
                <w:szCs w:val="32"/>
              </w:rPr>
            </w:pPr>
            <w:r>
              <w:rPr>
                <w:szCs w:val="32"/>
              </w:rPr>
              <w:t>重点车辆：公路客运、旅游客运、校车、危险品运输、“营转非”大中型客车、面包车及其驾驶人员。</w:t>
            </w:r>
          </w:p>
          <w:p>
            <w:pPr>
              <w:ind w:firstLine="640" w:firstLineChars="200"/>
              <w:rPr>
                <w:szCs w:val="32"/>
              </w:rPr>
            </w:pPr>
            <w:r>
              <w:rPr>
                <w:szCs w:val="32"/>
              </w:rPr>
              <w:t>重点工程：县乡公路安全生命防护工程；事故多发路段和险点路段整治工程。</w:t>
            </w:r>
          </w:p>
        </w:tc>
      </w:tr>
    </w:tbl>
    <w:p>
      <w:pPr>
        <w:spacing w:line="550" w:lineRule="exact"/>
        <w:ind w:firstLine="640" w:firstLineChars="200"/>
        <w:rPr>
          <w:szCs w:val="32"/>
        </w:rPr>
      </w:pPr>
      <w:r>
        <w:rPr>
          <w:szCs w:val="32"/>
        </w:rPr>
        <w:t>3.非煤矿山。以非煤矿山转型升级为重点，按照“达标保留一批、改造升级一批、整合重组一批、淘汰关闭一批”的要求，持续推进非煤矿山整顿关闭、整合重组工作。到2018年底以前，全市非煤矿山总数控制在800座以内，中型以上矿山比例提高到10%以上。开展地下矿山采空区调查，加大对地下矿山坍塌、中毒窒息、透水、坠罐跑车及露天矿山边坡滑坡等事故隐患的排查治理力度，依法整治乱采滥挖、无证开采、越界开采等非法违法行为。积极推广中深孔爆破、机械化开采、二次破碎和机械铲装、边坡监测监控、尾矿库在线监控等先进适用技术和装备。推进完善地下矿山安全避险“六大系统”建设，提高全行业机械化采、选、装、运水平。到 2020年，所有地下矿山完成安全避险系统建设，所有运行三等以上尾矿库安装使用在线监测系统，6%以上矿山通过二级以上安全标准化考评，所有生产矿山100%实现隐患自查、自报和自改的闭环管理。</w:t>
      </w:r>
    </w:p>
    <w:tbl>
      <w:tblPr>
        <w:tblStyle w:val="3"/>
        <w:tblW w:w="0" w:type="auto"/>
        <w:tblInd w:w="0" w:type="dxa"/>
        <w:tblLayout w:type="fixed"/>
        <w:tblCellMar>
          <w:top w:w="0" w:type="dxa"/>
          <w:left w:w="0" w:type="dxa"/>
          <w:bottom w:w="0" w:type="dxa"/>
          <w:right w:w="0" w:type="dxa"/>
        </w:tblCellMar>
      </w:tblPr>
      <w:tblGrid>
        <w:gridCol w:w="8888"/>
      </w:tblGrid>
      <w:tr>
        <w:tblPrEx>
          <w:tblCellMar>
            <w:top w:w="0" w:type="dxa"/>
            <w:left w:w="0" w:type="dxa"/>
            <w:bottom w:w="0" w:type="dxa"/>
            <w:right w:w="0" w:type="dxa"/>
          </w:tblCellMar>
        </w:tblPrEx>
        <w:tc>
          <w:tcPr>
            <w:tcW w:w="8888" w:type="dxa"/>
            <w:tcBorders>
              <w:top w:val="single" w:color="auto" w:sz="8" w:space="0"/>
              <w:left w:val="single" w:color="auto" w:sz="8" w:space="0"/>
              <w:bottom w:val="single" w:color="auto" w:sz="4" w:space="0"/>
              <w:right w:val="single" w:color="auto" w:sz="8" w:space="0"/>
            </w:tcBorders>
            <w:tcMar>
              <w:top w:w="0" w:type="dxa"/>
              <w:left w:w="108" w:type="dxa"/>
              <w:bottom w:w="0" w:type="dxa"/>
              <w:right w:w="108" w:type="dxa"/>
            </w:tcMar>
          </w:tcPr>
          <w:p>
            <w:pPr>
              <w:jc w:val="center"/>
              <w:rPr>
                <w:b/>
                <w:szCs w:val="32"/>
              </w:rPr>
            </w:pPr>
            <w:r>
              <w:rPr>
                <w:b/>
                <w:szCs w:val="32"/>
              </w:rPr>
              <w:t>专栏3    防范非煤矿山事故重点地区和重点工程</w:t>
            </w:r>
          </w:p>
        </w:tc>
      </w:tr>
      <w:tr>
        <w:tblPrEx>
          <w:tblCellMar>
            <w:top w:w="0" w:type="dxa"/>
            <w:left w:w="0" w:type="dxa"/>
            <w:bottom w:w="0" w:type="dxa"/>
            <w:right w:w="0" w:type="dxa"/>
          </w:tblCellMar>
        </w:tblPrEx>
        <w:trPr>
          <w:trHeight w:val="66" w:hRule="atLeast"/>
        </w:trPr>
        <w:tc>
          <w:tcPr>
            <w:tcW w:w="8888" w:type="dxa"/>
            <w:tcBorders>
              <w:top w:val="single" w:color="auto" w:sz="4" w:space="0"/>
              <w:left w:val="single" w:color="auto" w:sz="8" w:space="0"/>
              <w:bottom w:val="single" w:color="auto" w:sz="8" w:space="0"/>
              <w:right w:val="single" w:color="auto" w:sz="8" w:space="0"/>
            </w:tcBorders>
            <w:tcMar>
              <w:top w:w="0" w:type="dxa"/>
              <w:left w:w="108" w:type="dxa"/>
              <w:bottom w:w="0" w:type="dxa"/>
              <w:right w:w="108" w:type="dxa"/>
            </w:tcMar>
          </w:tcPr>
          <w:p>
            <w:pPr>
              <w:ind w:firstLine="640" w:firstLineChars="200"/>
              <w:rPr>
                <w:spacing w:val="-6"/>
                <w:szCs w:val="32"/>
              </w:rPr>
            </w:pPr>
            <w:r>
              <w:rPr>
                <w:szCs w:val="32"/>
              </w:rPr>
              <w:t>重点地区：</w:t>
            </w:r>
            <w:r>
              <w:rPr>
                <w:spacing w:val="-6"/>
                <w:szCs w:val="32"/>
              </w:rPr>
              <w:t>会泽、沾益、富源、麒麟、宣威、罗平、陆良。</w:t>
            </w:r>
          </w:p>
          <w:p>
            <w:pPr>
              <w:ind w:firstLine="640" w:firstLineChars="200"/>
              <w:rPr>
                <w:szCs w:val="32"/>
              </w:rPr>
            </w:pPr>
            <w:r>
              <w:rPr>
                <w:szCs w:val="32"/>
              </w:rPr>
              <w:t>重点领域：小型采石场、地下矿山、尾矿库。</w:t>
            </w:r>
          </w:p>
          <w:p>
            <w:pPr>
              <w:ind w:firstLine="640" w:firstLineChars="200"/>
              <w:rPr>
                <w:szCs w:val="32"/>
              </w:rPr>
            </w:pPr>
            <w:r>
              <w:rPr>
                <w:szCs w:val="32"/>
              </w:rPr>
              <w:t>重点工程：“四个一批”转型升级；地下矿山采空区排查治理；露天采场边坡及排土场隐患治理工程</w:t>
            </w:r>
          </w:p>
        </w:tc>
      </w:tr>
    </w:tbl>
    <w:p>
      <w:pPr>
        <w:ind w:firstLine="640" w:firstLineChars="200"/>
        <w:rPr>
          <w:szCs w:val="32"/>
        </w:rPr>
      </w:pPr>
      <w:r>
        <w:rPr>
          <w:szCs w:val="32"/>
        </w:rPr>
        <w:t>4.危险化学品。强化“两重点一重大”危化品企业及重点区域安全监管，严格涉及液氨、液氯等剧毒、易燃、易爆危险化学品建设项目 “三同时”审查。抓好危险化学品企业隐患排查治理，开展危化品罐区、特殊作业、储存场所等专项整治，实现企业隐患排查治理自查、自报和自改的闭环管理。开展城市化工企业布局普查和在役装置安全设计诊断及设计复核，推动危险化学品企业开展风险评估，按照“改造提升一批、搬迁重建一批、关闭退出一批”专项治理要求，依法关停工艺设备落后、不符合安全条件的危险化学品从业单位，推动城区内安全防护距离不达标的危险化学品生产及储存企业搬迁、转产和关闭。开展重大危险源摸底排查、辨识和评估，绘制市、县、乡危险化学品重大危险源分布电子图，建立完善重大危险源安全风险数据库，实施动态监控预警。结合危险化学品事故重点地区和化工集中区情况，合理建设专业化消防队（站）。加强学校、医院、检测检验等单位危险化学品、易制毒药品安全管理。持续提升安全标准化建设，大力开展化工自动化安全控制系统推广应用，全面完成“两重点一重大”企业自动化改造。到2020年，通过二级标准化考评达6%以上；涉及危险化工工艺的危险化学品生产装置自动化控制系统建成率达到100%。</w:t>
      </w:r>
    </w:p>
    <w:tbl>
      <w:tblPr>
        <w:tblStyle w:val="3"/>
        <w:tblW w:w="0" w:type="auto"/>
        <w:tblInd w:w="0"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
      <w:tblGrid>
        <w:gridCol w:w="8852"/>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8852" w:type="dxa"/>
            <w:tcBorders>
              <w:top w:val="outset" w:color="auto" w:sz="6" w:space="0"/>
              <w:left w:val="outset" w:color="auto" w:sz="6" w:space="0"/>
              <w:bottom w:val="outset" w:color="auto" w:sz="6" w:space="0"/>
              <w:right w:val="outset" w:color="auto" w:sz="6" w:space="0"/>
            </w:tcBorders>
            <w:vAlign w:val="center"/>
          </w:tcPr>
          <w:p>
            <w:pPr>
              <w:spacing w:line="530" w:lineRule="exact"/>
              <w:jc w:val="center"/>
              <w:rPr>
                <w:b/>
                <w:szCs w:val="32"/>
              </w:rPr>
            </w:pPr>
            <w:r>
              <w:rPr>
                <w:b/>
                <w:szCs w:val="32"/>
              </w:rPr>
              <w:t>专栏4    防范危险化学品事故重点地区和领域</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141" w:hRule="atLeast"/>
        </w:trPr>
        <w:tc>
          <w:tcPr>
            <w:tcW w:w="8852" w:type="dxa"/>
            <w:tcBorders>
              <w:top w:val="outset" w:color="auto" w:sz="6" w:space="0"/>
              <w:left w:val="outset" w:color="auto" w:sz="6" w:space="0"/>
              <w:bottom w:val="outset" w:color="auto" w:sz="6" w:space="0"/>
              <w:right w:val="outset" w:color="auto" w:sz="6" w:space="0"/>
            </w:tcBorders>
            <w:vAlign w:val="center"/>
          </w:tcPr>
          <w:p>
            <w:pPr>
              <w:spacing w:line="530" w:lineRule="exact"/>
              <w:ind w:firstLine="640" w:firstLineChars="200"/>
              <w:rPr>
                <w:spacing w:val="-6"/>
                <w:szCs w:val="32"/>
              </w:rPr>
            </w:pPr>
            <w:r>
              <w:rPr>
                <w:szCs w:val="32"/>
              </w:rPr>
              <w:t>重点地区：</w:t>
            </w:r>
            <w:r>
              <w:rPr>
                <w:spacing w:val="-6"/>
                <w:szCs w:val="32"/>
              </w:rPr>
              <w:t>沾益、陆良、麒麟、罗平、马龙、曲靖经开区。</w:t>
            </w:r>
          </w:p>
          <w:p>
            <w:pPr>
              <w:spacing w:line="530" w:lineRule="exact"/>
              <w:ind w:firstLine="640" w:firstLineChars="200"/>
              <w:rPr>
                <w:rFonts w:hint="eastAsia"/>
                <w:szCs w:val="32"/>
              </w:rPr>
            </w:pPr>
            <w:r>
              <w:rPr>
                <w:szCs w:val="32"/>
              </w:rPr>
              <w:t>重点领域：重点监管的危险化工工艺、危险化学品、重大危险源；城区内化学品仓储区（仓库）、油气站、化学品生产压力容器、管道等易燃易爆设施；油气输送管线；涉氯、涉氨等生产企业。</w:t>
            </w:r>
          </w:p>
          <w:p>
            <w:pPr>
              <w:spacing w:line="530" w:lineRule="exact"/>
              <w:ind w:firstLine="640" w:firstLineChars="200"/>
              <w:rPr>
                <w:szCs w:val="32"/>
              </w:rPr>
            </w:pPr>
            <w:r>
              <w:rPr>
                <w:szCs w:val="32"/>
              </w:rPr>
              <w:t>重点环节：动火、受限空间、检维修、倒罐、危险化学品运输等作业。</w:t>
            </w:r>
          </w:p>
        </w:tc>
      </w:tr>
    </w:tbl>
    <w:p>
      <w:pPr>
        <w:spacing w:line="550" w:lineRule="exact"/>
        <w:ind w:firstLine="640" w:firstLineChars="200"/>
        <w:rPr>
          <w:spacing w:val="-8"/>
          <w:szCs w:val="32"/>
        </w:rPr>
      </w:pPr>
      <w:r>
        <w:rPr>
          <w:szCs w:val="32"/>
        </w:rPr>
        <w:t>5.烟花爆竹。严格烟花爆竹生产经营安全许可，切实抓好生产、储存、销售、运输、燃放等各环节的安全监管。推进烟花爆竹经营标准化建设，推动烟花爆竹批发企业完善安全设施，建立烟花爆竹流向和运输全程动态监控监管信息系统，实现规范管理。强化烟花爆竹零售点的规划布局，合理控制烟花爆竹经营单位数量，推动零售点实施安全规范化管理。加大联合执法力度，</w:t>
      </w:r>
      <w:r>
        <w:rPr>
          <w:spacing w:val="-8"/>
          <w:szCs w:val="32"/>
        </w:rPr>
        <w:t>严厉打击烟花爆竹非法生产经营行为，规范烟花爆竹生产经营秩序。</w:t>
      </w:r>
    </w:p>
    <w:tbl>
      <w:tblPr>
        <w:tblStyle w:val="3"/>
        <w:tblW w:w="0" w:type="auto"/>
        <w:tblInd w:w="0"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
      <w:tblGrid>
        <w:gridCol w:w="8844"/>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8844" w:type="dxa"/>
            <w:tcBorders>
              <w:top w:val="outset" w:color="auto" w:sz="6" w:space="0"/>
              <w:left w:val="outset" w:color="auto" w:sz="6" w:space="0"/>
              <w:bottom w:val="outset" w:color="auto" w:sz="6" w:space="0"/>
              <w:right w:val="outset" w:color="auto" w:sz="6" w:space="0"/>
            </w:tcBorders>
            <w:vAlign w:val="center"/>
          </w:tcPr>
          <w:p>
            <w:pPr>
              <w:spacing w:line="550" w:lineRule="exact"/>
              <w:jc w:val="center"/>
              <w:rPr>
                <w:b/>
                <w:szCs w:val="32"/>
              </w:rPr>
            </w:pPr>
            <w:r>
              <w:rPr>
                <w:b/>
                <w:szCs w:val="32"/>
              </w:rPr>
              <w:t>专栏5    防范烟花爆竹事故重点地区和领域</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8844" w:type="dxa"/>
            <w:tcBorders>
              <w:top w:val="outset" w:color="auto" w:sz="6" w:space="0"/>
              <w:left w:val="outset" w:color="auto" w:sz="6" w:space="0"/>
              <w:bottom w:val="outset" w:color="auto" w:sz="6" w:space="0"/>
              <w:right w:val="outset" w:color="auto" w:sz="6" w:space="0"/>
            </w:tcBorders>
            <w:vAlign w:val="center"/>
          </w:tcPr>
          <w:p>
            <w:pPr>
              <w:spacing w:line="550" w:lineRule="exact"/>
              <w:ind w:firstLine="640" w:firstLineChars="200"/>
              <w:rPr>
                <w:szCs w:val="32"/>
              </w:rPr>
            </w:pPr>
            <w:r>
              <w:rPr>
                <w:szCs w:val="32"/>
              </w:rPr>
              <w:t>重点地区：马龙、宣威、会泽、师宗、麒麟、富源、罗平、沾益、陆良。</w:t>
            </w:r>
          </w:p>
          <w:p>
            <w:pPr>
              <w:spacing w:line="550" w:lineRule="exact"/>
              <w:ind w:firstLine="640" w:firstLineChars="200"/>
              <w:rPr>
                <w:szCs w:val="32"/>
              </w:rPr>
            </w:pPr>
            <w:r>
              <w:rPr>
                <w:szCs w:val="32"/>
              </w:rPr>
              <w:t>重点领域：烟花爆竹生产厂、烟花爆竹储存仓库、乡镇零售网点。</w:t>
            </w:r>
          </w:p>
        </w:tc>
      </w:tr>
    </w:tbl>
    <w:p>
      <w:pPr>
        <w:spacing w:line="530" w:lineRule="exact"/>
        <w:ind w:firstLine="640" w:firstLineChars="200"/>
        <w:rPr>
          <w:szCs w:val="32"/>
        </w:rPr>
      </w:pPr>
      <w:r>
        <w:rPr>
          <w:szCs w:val="32"/>
        </w:rPr>
        <w:t>6.工贸行业。强化冶金、机械、轻工、建材、有色、纺织、烟草和商贸等行业安全监管，推动企业事故隐患排查治理，建立行业企业安全生产状况信息库。深入开展有毒有害、高温金属熔融、有限空间、粉尘、涉氨等重点作业场所专项治理，严格落实《劳动密集型加工企业安全生产八条规定》，推动企业安全技术改造，淘汰落后工艺，提升本质安全水平。加强建设项目安全设施“三同时”监督管理。强化冶炼企业煤气储存、危险化学品等重大危险源安全管控。继续推进企业标准化建设，提高标准化建设水平。到2020年，冶金、机械、建材等八大行业规模以上企业100%达三级安全标准化，二级安全标准化企业达10%以上。</w:t>
      </w:r>
    </w:p>
    <w:tbl>
      <w:tblPr>
        <w:tblStyle w:val="3"/>
        <w:tblW w:w="0" w:type="auto"/>
        <w:tblInd w:w="0"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
      <w:tblGrid>
        <w:gridCol w:w="8852"/>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8852" w:type="dxa"/>
            <w:tcBorders>
              <w:top w:val="outset" w:color="auto" w:sz="6" w:space="0"/>
              <w:left w:val="outset" w:color="auto" w:sz="6" w:space="0"/>
              <w:bottom w:val="outset" w:color="auto" w:sz="6" w:space="0"/>
              <w:right w:val="outset" w:color="auto" w:sz="6" w:space="0"/>
            </w:tcBorders>
            <w:vAlign w:val="center"/>
          </w:tcPr>
          <w:p>
            <w:pPr>
              <w:spacing w:line="550" w:lineRule="exact"/>
              <w:jc w:val="center"/>
              <w:rPr>
                <w:b/>
                <w:szCs w:val="32"/>
              </w:rPr>
            </w:pPr>
            <w:r>
              <w:rPr>
                <w:b/>
                <w:szCs w:val="32"/>
              </w:rPr>
              <w:t>专栏6    防范工贸事故重点地区和领域</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8852" w:type="dxa"/>
            <w:tcBorders>
              <w:top w:val="outset" w:color="auto" w:sz="6" w:space="0"/>
              <w:left w:val="outset" w:color="auto" w:sz="6" w:space="0"/>
              <w:bottom w:val="outset" w:color="auto" w:sz="6" w:space="0"/>
              <w:right w:val="outset" w:color="auto" w:sz="6" w:space="0"/>
            </w:tcBorders>
            <w:vAlign w:val="center"/>
          </w:tcPr>
          <w:p>
            <w:pPr>
              <w:spacing w:line="550" w:lineRule="exact"/>
              <w:ind w:firstLine="640" w:firstLineChars="200"/>
              <w:rPr>
                <w:spacing w:val="-6"/>
                <w:szCs w:val="32"/>
              </w:rPr>
            </w:pPr>
            <w:r>
              <w:rPr>
                <w:szCs w:val="32"/>
              </w:rPr>
              <w:t>重点地区：</w:t>
            </w:r>
            <w:r>
              <w:rPr>
                <w:spacing w:val="-6"/>
                <w:szCs w:val="32"/>
              </w:rPr>
              <w:t>马龙、会泽、师宗、麒麟、罗平、沾益、陆良。</w:t>
            </w:r>
          </w:p>
          <w:p>
            <w:pPr>
              <w:spacing w:line="550" w:lineRule="exact"/>
              <w:ind w:firstLine="640" w:firstLineChars="200"/>
              <w:rPr>
                <w:szCs w:val="32"/>
              </w:rPr>
            </w:pPr>
            <w:r>
              <w:rPr>
                <w:szCs w:val="32"/>
              </w:rPr>
              <w:t>重点领域：粉尘防爆、涉氨制冷、冶金煤气、有限空间作业、劳动密集型等企业。</w:t>
            </w:r>
          </w:p>
        </w:tc>
      </w:tr>
    </w:tbl>
    <w:p>
      <w:pPr>
        <w:spacing w:line="510" w:lineRule="exact"/>
        <w:ind w:firstLine="640" w:firstLineChars="200"/>
        <w:rPr>
          <w:szCs w:val="32"/>
        </w:rPr>
      </w:pPr>
      <w:r>
        <w:rPr>
          <w:szCs w:val="32"/>
        </w:rPr>
        <w:t xml:space="preserve">7.消防（火灾）。推动消防规划纳入当地城乡建设总体规划，持续开展建筑消防设施“三化”及消防安全“四个能力”建设。严格落实新建、改建、扩建建设工程消防安全设计审核、消防验收或备案抽查制度。加强农村和社区消防工作，建立农村、社区消防工作议事协调机制，大力发展社会消防组织。实施消防安全专项治理行动，重点整治易燃易爆单位、人员密集和“三合一、多合一”场所、劳动密集型企业、高层建筑、批发集贸市场、“城中村”、“棚户区”、城区老旧民房和连片村寨等区域火灾隐患。强化全民消防宣传教育，完善养老院、幼儿园等脆弱性目标消防安全宣传和服务。完善重大火灾隐患挂牌督办机制，着力消除火灾隐患。 </w:t>
      </w:r>
    </w:p>
    <w:tbl>
      <w:tblPr>
        <w:tblStyle w:val="3"/>
        <w:tblW w:w="0" w:type="auto"/>
        <w:tblInd w:w="0"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
      <w:tblGrid>
        <w:gridCol w:w="8844"/>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8844" w:type="dxa"/>
            <w:tcBorders>
              <w:top w:val="outset" w:color="auto" w:sz="6" w:space="0"/>
              <w:left w:val="outset" w:color="auto" w:sz="6" w:space="0"/>
              <w:bottom w:val="outset" w:color="auto" w:sz="6" w:space="0"/>
              <w:right w:val="outset" w:color="auto" w:sz="6" w:space="0"/>
            </w:tcBorders>
            <w:vAlign w:val="center"/>
          </w:tcPr>
          <w:p>
            <w:pPr>
              <w:spacing w:line="490" w:lineRule="exact"/>
              <w:jc w:val="center"/>
              <w:rPr>
                <w:b/>
                <w:szCs w:val="32"/>
              </w:rPr>
            </w:pPr>
            <w:r>
              <w:rPr>
                <w:b/>
                <w:szCs w:val="32"/>
              </w:rPr>
              <w:t>专栏7    防范火灾事故重点地区和领域</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8844" w:type="dxa"/>
            <w:tcBorders>
              <w:top w:val="outset" w:color="auto" w:sz="6" w:space="0"/>
              <w:left w:val="outset" w:color="auto" w:sz="6" w:space="0"/>
              <w:bottom w:val="outset" w:color="auto" w:sz="6" w:space="0"/>
              <w:right w:val="outset" w:color="auto" w:sz="6" w:space="0"/>
            </w:tcBorders>
            <w:vAlign w:val="center"/>
          </w:tcPr>
          <w:p>
            <w:pPr>
              <w:spacing w:line="490" w:lineRule="exact"/>
              <w:ind w:firstLine="640" w:firstLineChars="200"/>
              <w:rPr>
                <w:szCs w:val="32"/>
              </w:rPr>
            </w:pPr>
            <w:r>
              <w:rPr>
                <w:szCs w:val="32"/>
              </w:rPr>
              <w:t>重点地区：宣威、沾益、陆良、麒麟、马龙、会泽。</w:t>
            </w:r>
          </w:p>
          <w:p>
            <w:pPr>
              <w:spacing w:line="490" w:lineRule="exact"/>
              <w:ind w:firstLine="640" w:firstLineChars="200"/>
              <w:rPr>
                <w:szCs w:val="32"/>
              </w:rPr>
            </w:pPr>
            <w:r>
              <w:rPr>
                <w:szCs w:val="32"/>
              </w:rPr>
              <w:t>重点领域：易燃易爆单位、人员密集和“三合一”场所、劳动密集型企业、高层建筑、地下空间、批发集贸市场、“城中村”、“棚户区”、城区老旧民房和连片村寨等区域。</w:t>
            </w:r>
          </w:p>
        </w:tc>
      </w:tr>
    </w:tbl>
    <w:p>
      <w:pPr>
        <w:spacing w:line="510" w:lineRule="exact"/>
        <w:ind w:firstLine="640" w:firstLineChars="200"/>
        <w:rPr>
          <w:szCs w:val="32"/>
        </w:rPr>
      </w:pPr>
      <w:r>
        <w:rPr>
          <w:szCs w:val="32"/>
        </w:rPr>
        <w:t>8.建筑施工。严格落实建设工程参建各方的安全生产主体责任，加强工程招投标、资质审批、施工许可、开工报告、现场作业等环节的安全监管，及时淘汰不符合安全生产条件的建筑企业和施工工艺、技术及装备。建立建筑工程安全生产信息动态数据库，健全建筑施工企业与从业人员安全生产信用体系和失信惩戒制度。以公路、铁路、机场、水利等重点建设工程及桥梁、隧道等危险性较大建设项目为重点，建立设计、施工阶段安全风险评估制度。深入开展深基坑、高支模、起重机械、建筑消防等重点领域专项整治，强化建筑施工现场安全监管，突出高处坠落、机电伤害、施工坍塌等多发事故类别的预防工作，突出治理违法转包、安全措施不落实及建筑施工“三违”行为。加强农民工建筑施工安全生产知识教育培训。推进施工企业和项目“平安工地”创建及安全标准化建设。</w:t>
      </w:r>
    </w:p>
    <w:tbl>
      <w:tblPr>
        <w:tblStyle w:val="3"/>
        <w:tblW w:w="0" w:type="auto"/>
        <w:tblInd w:w="0" w:type="dxa"/>
        <w:tblLayout w:type="fixed"/>
        <w:tblCellMar>
          <w:top w:w="0" w:type="dxa"/>
          <w:left w:w="0" w:type="dxa"/>
          <w:bottom w:w="0" w:type="dxa"/>
          <w:right w:w="0" w:type="dxa"/>
        </w:tblCellMar>
      </w:tblPr>
      <w:tblGrid>
        <w:gridCol w:w="8844"/>
      </w:tblGrid>
      <w:tr>
        <w:tblPrEx>
          <w:tblCellMar>
            <w:top w:w="0" w:type="dxa"/>
            <w:left w:w="0" w:type="dxa"/>
            <w:bottom w:w="0" w:type="dxa"/>
            <w:right w:w="0" w:type="dxa"/>
          </w:tblCellMar>
        </w:tblPrEx>
        <w:tc>
          <w:tcPr>
            <w:tcW w:w="8844" w:type="dxa"/>
            <w:tcBorders>
              <w:top w:val="single" w:color="auto" w:sz="8" w:space="0"/>
              <w:left w:val="single" w:color="auto" w:sz="8" w:space="0"/>
              <w:bottom w:val="single" w:color="auto" w:sz="4" w:space="0"/>
              <w:right w:val="single" w:color="auto" w:sz="8" w:space="0"/>
            </w:tcBorders>
            <w:tcMar>
              <w:top w:w="0" w:type="dxa"/>
              <w:left w:w="108" w:type="dxa"/>
              <w:bottom w:w="0" w:type="dxa"/>
              <w:right w:w="108" w:type="dxa"/>
            </w:tcMar>
          </w:tcPr>
          <w:p>
            <w:pPr>
              <w:spacing w:line="490" w:lineRule="exact"/>
              <w:jc w:val="center"/>
              <w:rPr>
                <w:b/>
                <w:szCs w:val="32"/>
              </w:rPr>
            </w:pPr>
            <w:r>
              <w:rPr>
                <w:b/>
                <w:szCs w:val="32"/>
              </w:rPr>
              <w:t>专栏8    防范建筑施工事故重点领域、环节和类型</w:t>
            </w:r>
          </w:p>
        </w:tc>
      </w:tr>
      <w:tr>
        <w:tblPrEx>
          <w:tblCellMar>
            <w:top w:w="0" w:type="dxa"/>
            <w:left w:w="0" w:type="dxa"/>
            <w:bottom w:w="0" w:type="dxa"/>
            <w:right w:w="0" w:type="dxa"/>
          </w:tblCellMar>
        </w:tblPrEx>
        <w:tc>
          <w:tcPr>
            <w:tcW w:w="8844" w:type="dxa"/>
            <w:tcBorders>
              <w:top w:val="single" w:color="auto" w:sz="4" w:space="0"/>
              <w:left w:val="single" w:color="auto" w:sz="4" w:space="0"/>
              <w:bottom w:val="single" w:color="auto" w:sz="8" w:space="0"/>
              <w:right w:val="single" w:color="auto" w:sz="8" w:space="0"/>
            </w:tcBorders>
            <w:tcMar>
              <w:top w:w="0" w:type="dxa"/>
              <w:left w:w="108" w:type="dxa"/>
              <w:bottom w:w="0" w:type="dxa"/>
              <w:right w:w="108" w:type="dxa"/>
            </w:tcMar>
          </w:tcPr>
          <w:p>
            <w:pPr>
              <w:spacing w:line="490" w:lineRule="exact"/>
              <w:ind w:firstLine="640" w:firstLineChars="200"/>
              <w:rPr>
                <w:szCs w:val="32"/>
              </w:rPr>
            </w:pPr>
            <w:r>
              <w:rPr>
                <w:szCs w:val="32"/>
              </w:rPr>
              <w:t>重点领域：房屋工程建筑、道路、隧道和桥梁工程建筑，建筑安装、建筑装饰工程。</w:t>
            </w:r>
          </w:p>
          <w:p>
            <w:pPr>
              <w:spacing w:line="490" w:lineRule="exact"/>
              <w:ind w:firstLine="640" w:firstLineChars="200"/>
              <w:rPr>
                <w:szCs w:val="32"/>
              </w:rPr>
            </w:pPr>
            <w:r>
              <w:rPr>
                <w:szCs w:val="32"/>
              </w:rPr>
              <w:t>重点环节：基坑支护、土方开挖、脚手架、模板工程及支撑体系、起重吊装及安装拆卸、拆除爆破等。</w:t>
            </w:r>
          </w:p>
          <w:p>
            <w:pPr>
              <w:spacing w:line="490" w:lineRule="exact"/>
              <w:ind w:firstLine="640" w:firstLineChars="200"/>
              <w:rPr>
                <w:szCs w:val="32"/>
              </w:rPr>
            </w:pPr>
            <w:r>
              <w:rPr>
                <w:szCs w:val="32"/>
              </w:rPr>
              <w:t>重点类型：高处坠落、机电伤害、施工坍塌、人工挖孔桩中毒窒息。</w:t>
            </w:r>
          </w:p>
        </w:tc>
      </w:tr>
    </w:tbl>
    <w:p>
      <w:pPr>
        <w:spacing w:line="530" w:lineRule="exact"/>
        <w:ind w:firstLine="640" w:firstLineChars="200"/>
        <w:rPr>
          <w:szCs w:val="32"/>
        </w:rPr>
      </w:pPr>
      <w:r>
        <w:rPr>
          <w:szCs w:val="32"/>
        </w:rPr>
        <w:t>9.农业机械。加强农机监理执法队伍和监管能力建设，加大农机安全监管执法力度，依法落实农机安全生产责任。强化拖拉机、联合收割机的注册登记、牌证核发和年度检验，大力提高上牌率、检验率和持证率。建立农机市场准入、强制淘汰报废和回收管理制度。开展农机“打非治违”和道路安全整治，加大农机安全技术检验员考核培训力度，实行持证上岗。广泛开展农机安全宣传教育活动和创建“平安农机”示范县（市、区）、示范乡镇等活动，提高农机安全参与者安全生产意识与守法意识。</w:t>
      </w:r>
    </w:p>
    <w:tbl>
      <w:tblPr>
        <w:tblStyle w:val="3"/>
        <w:tblW w:w="0" w:type="auto"/>
        <w:tblInd w:w="0" w:type="dxa"/>
        <w:tblLayout w:type="fixed"/>
        <w:tblCellMar>
          <w:top w:w="0" w:type="dxa"/>
          <w:left w:w="0" w:type="dxa"/>
          <w:bottom w:w="0" w:type="dxa"/>
          <w:right w:w="0" w:type="dxa"/>
        </w:tblCellMar>
      </w:tblPr>
      <w:tblGrid>
        <w:gridCol w:w="8844"/>
      </w:tblGrid>
      <w:tr>
        <w:tblPrEx>
          <w:tblCellMar>
            <w:top w:w="0" w:type="dxa"/>
            <w:left w:w="0" w:type="dxa"/>
            <w:bottom w:w="0" w:type="dxa"/>
            <w:right w:w="0" w:type="dxa"/>
          </w:tblCellMar>
        </w:tblPrEx>
        <w:tc>
          <w:tcPr>
            <w:tcW w:w="8844" w:type="dxa"/>
            <w:tcBorders>
              <w:top w:val="single" w:color="auto" w:sz="8" w:space="0"/>
              <w:left w:val="single" w:color="auto" w:sz="8" w:space="0"/>
              <w:bottom w:val="single" w:color="auto" w:sz="4" w:space="0"/>
              <w:right w:val="single" w:color="auto" w:sz="8" w:space="0"/>
            </w:tcBorders>
            <w:tcMar>
              <w:top w:w="0" w:type="dxa"/>
              <w:left w:w="108" w:type="dxa"/>
              <w:bottom w:w="0" w:type="dxa"/>
              <w:right w:w="108" w:type="dxa"/>
            </w:tcMar>
          </w:tcPr>
          <w:p>
            <w:pPr>
              <w:jc w:val="center"/>
              <w:rPr>
                <w:b/>
                <w:szCs w:val="32"/>
              </w:rPr>
            </w:pPr>
            <w:r>
              <w:rPr>
                <w:b/>
                <w:szCs w:val="32"/>
              </w:rPr>
              <w:t>专栏9    防范农业机械事故重点行为和环节</w:t>
            </w:r>
          </w:p>
        </w:tc>
      </w:tr>
      <w:tr>
        <w:tblPrEx>
          <w:tblCellMar>
            <w:top w:w="0" w:type="dxa"/>
            <w:left w:w="0" w:type="dxa"/>
            <w:bottom w:w="0" w:type="dxa"/>
            <w:right w:w="0" w:type="dxa"/>
          </w:tblCellMar>
        </w:tblPrEx>
        <w:tc>
          <w:tcPr>
            <w:tcW w:w="8844" w:type="dxa"/>
            <w:tcBorders>
              <w:top w:val="single" w:color="auto" w:sz="4" w:space="0"/>
              <w:left w:val="single" w:color="auto" w:sz="4" w:space="0"/>
              <w:bottom w:val="single" w:color="auto" w:sz="8" w:space="0"/>
              <w:right w:val="single" w:color="auto" w:sz="8" w:space="0"/>
            </w:tcBorders>
            <w:tcMar>
              <w:top w:w="0" w:type="dxa"/>
              <w:left w:w="108" w:type="dxa"/>
              <w:bottom w:w="0" w:type="dxa"/>
              <w:right w:w="108" w:type="dxa"/>
            </w:tcMar>
          </w:tcPr>
          <w:p>
            <w:pPr>
              <w:ind w:firstLine="640" w:firstLineChars="200"/>
              <w:rPr>
                <w:szCs w:val="32"/>
              </w:rPr>
            </w:pPr>
            <w:r>
              <w:rPr>
                <w:szCs w:val="32"/>
              </w:rPr>
              <w:t>重点行为：拖拉机、联合收割机无牌行使、无证驾驶、证照不符、违章作业、违章载人、酒后驾驶等违法行为。</w:t>
            </w:r>
          </w:p>
          <w:p>
            <w:pPr>
              <w:ind w:firstLine="640" w:firstLineChars="200"/>
              <w:rPr>
                <w:szCs w:val="32"/>
              </w:rPr>
            </w:pPr>
            <w:r>
              <w:rPr>
                <w:szCs w:val="32"/>
              </w:rPr>
              <w:t>重点环节：春耕、春播、“三夏”、“三秋”等重点农牧业生产环节。</w:t>
            </w:r>
          </w:p>
        </w:tc>
      </w:tr>
    </w:tbl>
    <w:p>
      <w:pPr>
        <w:spacing w:line="530" w:lineRule="exact"/>
        <w:ind w:firstLine="640" w:firstLineChars="200"/>
        <w:rPr>
          <w:szCs w:val="32"/>
        </w:rPr>
      </w:pPr>
      <w:r>
        <w:rPr>
          <w:szCs w:val="32"/>
        </w:rPr>
        <w:t>10.特种设备。建立健全特种设备巡查督查“双随机”抽查制度，严格监督检验和定期检验制度，督促企业严格履行特种设备使用登记、申报检验、日常维护保养、作业人员持证上岗等义务。开展电梯隐患整治，强化油气长输管道管网和涉氨冷库压力管道执法检查，围绕小锅炉、高风险压力容器、气瓶、大型起重机械、大型游乐设施等重点设备，加强隐患排查治理。加强特种设备及其从业单位的日常巡查，对隐患做到无缺漏台帐登记和整改闭环控制。建立完善分级分类监管机制，推进气瓶、压力管道等特种设备从单台设备登记向单位整体登记转变。推进特种设备电子监控系统建设，强化信息化辅助监管，搭建公共服务平台。</w:t>
      </w:r>
    </w:p>
    <w:tbl>
      <w:tblPr>
        <w:tblStyle w:val="3"/>
        <w:tblW w:w="0" w:type="auto"/>
        <w:tblInd w:w="0" w:type="dxa"/>
        <w:tblLayout w:type="fixed"/>
        <w:tblCellMar>
          <w:top w:w="0" w:type="dxa"/>
          <w:left w:w="0" w:type="dxa"/>
          <w:bottom w:w="0" w:type="dxa"/>
          <w:right w:w="0" w:type="dxa"/>
        </w:tblCellMar>
      </w:tblPr>
      <w:tblGrid>
        <w:gridCol w:w="8844"/>
      </w:tblGrid>
      <w:tr>
        <w:tblPrEx>
          <w:tblCellMar>
            <w:top w:w="0" w:type="dxa"/>
            <w:left w:w="0" w:type="dxa"/>
            <w:bottom w:w="0" w:type="dxa"/>
            <w:right w:w="0" w:type="dxa"/>
          </w:tblCellMar>
        </w:tblPrEx>
        <w:tc>
          <w:tcPr>
            <w:tcW w:w="8844" w:type="dxa"/>
            <w:tcBorders>
              <w:top w:val="single" w:color="auto" w:sz="8" w:space="0"/>
              <w:left w:val="single" w:color="auto" w:sz="8" w:space="0"/>
              <w:bottom w:val="single" w:color="auto" w:sz="4" w:space="0"/>
              <w:right w:val="single" w:color="auto" w:sz="8" w:space="0"/>
            </w:tcBorders>
            <w:tcMar>
              <w:top w:w="0" w:type="dxa"/>
              <w:left w:w="108" w:type="dxa"/>
              <w:bottom w:w="0" w:type="dxa"/>
              <w:right w:w="108" w:type="dxa"/>
            </w:tcMar>
          </w:tcPr>
          <w:p>
            <w:pPr>
              <w:jc w:val="center"/>
              <w:rPr>
                <w:b/>
                <w:szCs w:val="32"/>
              </w:rPr>
            </w:pPr>
            <w:r>
              <w:rPr>
                <w:b/>
                <w:szCs w:val="32"/>
              </w:rPr>
              <w:t>专栏10     防范特种设备事故重点区域、环节和类型</w:t>
            </w:r>
          </w:p>
        </w:tc>
      </w:tr>
      <w:tr>
        <w:tblPrEx>
          <w:tblCellMar>
            <w:top w:w="0" w:type="dxa"/>
            <w:left w:w="0" w:type="dxa"/>
            <w:bottom w:w="0" w:type="dxa"/>
            <w:right w:w="0" w:type="dxa"/>
          </w:tblCellMar>
        </w:tblPrEx>
        <w:tc>
          <w:tcPr>
            <w:tcW w:w="8844" w:type="dxa"/>
            <w:tcBorders>
              <w:top w:val="single" w:color="auto" w:sz="4" w:space="0"/>
              <w:left w:val="single" w:color="auto" w:sz="4" w:space="0"/>
              <w:bottom w:val="single" w:color="auto" w:sz="8" w:space="0"/>
              <w:right w:val="single" w:color="auto" w:sz="8" w:space="0"/>
            </w:tcBorders>
            <w:tcMar>
              <w:top w:w="0" w:type="dxa"/>
              <w:left w:w="108" w:type="dxa"/>
              <w:bottom w:w="0" w:type="dxa"/>
              <w:right w:w="108" w:type="dxa"/>
            </w:tcMar>
          </w:tcPr>
          <w:p>
            <w:pPr>
              <w:spacing w:line="520" w:lineRule="exact"/>
              <w:ind w:firstLine="640" w:firstLineChars="200"/>
              <w:rPr>
                <w:szCs w:val="32"/>
              </w:rPr>
            </w:pPr>
            <w:r>
              <w:rPr>
                <w:szCs w:val="32"/>
              </w:rPr>
              <w:t>重点领域：石油化工企业和油气罐区、冷库、移动式压力容器和气瓶充装单位等场所，居民集中区和人员密集场所附近的特种设备使用单位。</w:t>
            </w:r>
          </w:p>
          <w:p>
            <w:pPr>
              <w:spacing w:line="520" w:lineRule="exact"/>
              <w:ind w:firstLine="640" w:firstLineChars="200"/>
              <w:rPr>
                <w:szCs w:val="32"/>
              </w:rPr>
            </w:pPr>
            <w:r>
              <w:rPr>
                <w:szCs w:val="32"/>
              </w:rPr>
              <w:t>重点环节：涉危特种设备使用环节，气瓶、移动式压力容器充装环节。</w:t>
            </w:r>
          </w:p>
          <w:p>
            <w:pPr>
              <w:spacing w:line="520" w:lineRule="exact"/>
              <w:ind w:firstLine="640" w:firstLineChars="200"/>
              <w:rPr>
                <w:szCs w:val="32"/>
              </w:rPr>
            </w:pPr>
            <w:r>
              <w:rPr>
                <w:szCs w:val="32"/>
              </w:rPr>
              <w:t>重点类型：以电梯、压力管道、移动式压力容器、气瓶等为重点。</w:t>
            </w:r>
          </w:p>
        </w:tc>
      </w:tr>
    </w:tbl>
    <w:p>
      <w:pPr>
        <w:ind w:firstLine="640" w:firstLineChars="200"/>
        <w:rPr>
          <w:szCs w:val="32"/>
        </w:rPr>
      </w:pPr>
      <w:r>
        <w:rPr>
          <w:szCs w:val="32"/>
        </w:rPr>
        <w:t>11.油气输送管道和城镇燃气。依法落实油气输送管道保护职责分工，加强对管道的监控和保护，建立安全监管长效机制，打击破坏损害油气输送管道及其附属设施行为，整治管道周边乱建乱挖乱钻及管道超期未检等问题。集中开展油气输送管道安全隐患治理3年攻坚战，强化重点攻坚和挂牌督办，力争到2018年全面完成隐患整治工作。加强城市燃气管线工程设计、施工、安装等环节安全监管，严格规范燃气建设经营市场，强化燃气设施安全保护，持续开展城镇燃气隐患排查和打非治违行动。</w:t>
      </w:r>
    </w:p>
    <w:tbl>
      <w:tblPr>
        <w:tblStyle w:val="3"/>
        <w:tblW w:w="0" w:type="auto"/>
        <w:tblInd w:w="0"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
      <w:tblGrid>
        <w:gridCol w:w="8844"/>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8844" w:type="dxa"/>
            <w:tcBorders>
              <w:top w:val="outset" w:color="auto" w:sz="6" w:space="0"/>
              <w:left w:val="outset" w:color="auto" w:sz="6" w:space="0"/>
              <w:bottom w:val="outset" w:color="auto" w:sz="6" w:space="0"/>
              <w:right w:val="outset" w:color="auto" w:sz="6" w:space="0"/>
            </w:tcBorders>
            <w:vAlign w:val="center"/>
          </w:tcPr>
          <w:p>
            <w:pPr>
              <w:jc w:val="center"/>
              <w:rPr>
                <w:b/>
                <w:szCs w:val="32"/>
              </w:rPr>
            </w:pPr>
            <w:r>
              <w:rPr>
                <w:b/>
                <w:szCs w:val="32"/>
              </w:rPr>
              <w:t>专栏11  防范油气输送管道和城镇燃气重点地区和环节</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8844" w:type="dxa"/>
            <w:tcBorders>
              <w:top w:val="outset" w:color="auto" w:sz="6" w:space="0"/>
              <w:left w:val="outset" w:color="auto" w:sz="6" w:space="0"/>
              <w:bottom w:val="outset" w:color="auto" w:sz="6" w:space="0"/>
              <w:right w:val="outset" w:color="auto" w:sz="6" w:space="0"/>
            </w:tcBorders>
            <w:vAlign w:val="center"/>
          </w:tcPr>
          <w:p>
            <w:pPr>
              <w:ind w:firstLine="640" w:firstLineChars="200"/>
              <w:rPr>
                <w:szCs w:val="32"/>
              </w:rPr>
            </w:pPr>
            <w:r>
              <w:rPr>
                <w:szCs w:val="32"/>
              </w:rPr>
              <w:t>重点地区：马龙、麒麟、宣威、富源 、沾益、陆良</w:t>
            </w:r>
          </w:p>
          <w:p>
            <w:pPr>
              <w:ind w:firstLine="640" w:firstLineChars="200"/>
              <w:rPr>
                <w:szCs w:val="32"/>
              </w:rPr>
            </w:pPr>
            <w:r>
              <w:rPr>
                <w:szCs w:val="32"/>
              </w:rPr>
              <w:t>重点环节：非法占压油气输送管道和管道周边乱建乱挖乱钻行为；城镇燃气管网拆除、搬迁和清理，燃气门站、储配站、输配管网、户内燃气设施等管理，私自安装、使用未经检测的燃气器具，私改燃气管线等。</w:t>
            </w:r>
          </w:p>
        </w:tc>
      </w:tr>
    </w:tbl>
    <w:p>
      <w:pPr>
        <w:spacing w:line="570" w:lineRule="exact"/>
        <w:ind w:firstLine="640" w:firstLineChars="200"/>
        <w:rPr>
          <w:szCs w:val="32"/>
        </w:rPr>
      </w:pPr>
      <w:r>
        <w:rPr>
          <w:szCs w:val="32"/>
        </w:rPr>
        <w:t>12.民爆物品。严格落实公安部《从严管控民用爆炸物品十条规定》，对涉爆单位建立风险评估和分级预警检查机制，强化爆破作业人员培训考核和动态管控，加强民用爆炸物品运输动态监管和流向监控管理，严格落实民用爆炸物品储存库治安防范措施和末端管控，严格关停涉爆单位遗留民用爆炸物品清查处置。加强爆破作业单位和作业现场安全管理。推进民爆物品生产企业现有生产工艺、装备的升级换代，实现关键工序、关键环节上的人机隔离、自动操作，提高生产自动化、信息化水平和安全防范水平。</w:t>
      </w:r>
    </w:p>
    <w:tbl>
      <w:tblPr>
        <w:tblStyle w:val="3"/>
        <w:tblW w:w="0" w:type="auto"/>
        <w:tblInd w:w="0"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
      <w:tblGrid>
        <w:gridCol w:w="8852"/>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8852" w:type="dxa"/>
            <w:tcBorders>
              <w:top w:val="outset" w:color="auto" w:sz="6" w:space="0"/>
              <w:left w:val="outset" w:color="auto" w:sz="6" w:space="0"/>
              <w:bottom w:val="outset" w:color="auto" w:sz="6" w:space="0"/>
              <w:right w:val="outset" w:color="auto" w:sz="6" w:space="0"/>
            </w:tcBorders>
            <w:vAlign w:val="center"/>
          </w:tcPr>
          <w:p>
            <w:pPr>
              <w:jc w:val="center"/>
              <w:rPr>
                <w:b/>
                <w:szCs w:val="32"/>
              </w:rPr>
            </w:pPr>
            <w:r>
              <w:rPr>
                <w:b/>
                <w:szCs w:val="32"/>
              </w:rPr>
              <w:t xml:space="preserve">专栏12 </w:t>
            </w:r>
            <w:r>
              <w:rPr>
                <w:rFonts w:hint="eastAsia"/>
                <w:b/>
                <w:szCs w:val="32"/>
              </w:rPr>
              <w:t xml:space="preserve"> </w:t>
            </w:r>
            <w:r>
              <w:rPr>
                <w:b/>
                <w:szCs w:val="32"/>
              </w:rPr>
              <w:t xml:space="preserve">  防范民爆物品事故重点地区和环节</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8852" w:type="dxa"/>
            <w:tcBorders>
              <w:top w:val="outset" w:color="auto" w:sz="6" w:space="0"/>
              <w:left w:val="outset" w:color="auto" w:sz="6" w:space="0"/>
              <w:bottom w:val="outset" w:color="auto" w:sz="6" w:space="0"/>
              <w:right w:val="outset" w:color="auto" w:sz="6" w:space="0"/>
            </w:tcBorders>
            <w:vAlign w:val="center"/>
          </w:tcPr>
          <w:p>
            <w:pPr>
              <w:ind w:firstLine="640" w:firstLineChars="200"/>
              <w:rPr>
                <w:szCs w:val="32"/>
              </w:rPr>
            </w:pPr>
            <w:r>
              <w:rPr>
                <w:szCs w:val="32"/>
              </w:rPr>
              <w:t>重点地区：陆良、沾益、麒麟、罗平、马龙、宣威、富源、会泽。</w:t>
            </w:r>
          </w:p>
          <w:p>
            <w:pPr>
              <w:ind w:firstLine="640" w:firstLineChars="200"/>
              <w:rPr>
                <w:szCs w:val="32"/>
              </w:rPr>
            </w:pPr>
            <w:r>
              <w:rPr>
                <w:szCs w:val="32"/>
              </w:rPr>
              <w:t>重点环节：民爆物品仓库及涉爆单位、人员和爆破现场管理。</w:t>
            </w:r>
          </w:p>
        </w:tc>
      </w:tr>
    </w:tbl>
    <w:p>
      <w:pPr>
        <w:spacing w:line="570" w:lineRule="exact"/>
        <w:ind w:firstLine="640" w:firstLineChars="200"/>
        <w:rPr>
          <w:szCs w:val="32"/>
        </w:rPr>
      </w:pPr>
      <w:r>
        <w:rPr>
          <w:szCs w:val="32"/>
        </w:rPr>
        <w:t>13.水利电力。开展病害水库的隐患排查和治理，加强对水电站大坝的安全监管。加强水利电力建设项目安全管理，严格审查各参建单位资质条件，严格建筑施工机械设备、材料质量检验检测，落实建设施工风险管理和隐患排查治理机制，强化施工现场管理，督促各参建单位落实工程质量和安全生产措施。加强重要输电通道安全风险管控、电力设施保护，开展电力高压线走廊安全专项整治。推进水利电力企业安全生产标准化建设，建立完善处置水库大坝坍塌、电网大面积停电等突发事件应急体系和应急机制，提高应对突发事件能力。</w:t>
      </w:r>
    </w:p>
    <w:tbl>
      <w:tblPr>
        <w:tblStyle w:val="3"/>
        <w:tblW w:w="0" w:type="auto"/>
        <w:tblInd w:w="0"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
      <w:tblGrid>
        <w:gridCol w:w="8844"/>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8844" w:type="dxa"/>
            <w:tcBorders>
              <w:top w:val="outset" w:color="auto" w:sz="6" w:space="0"/>
              <w:left w:val="outset" w:color="auto" w:sz="6" w:space="0"/>
              <w:bottom w:val="outset" w:color="auto" w:sz="6" w:space="0"/>
              <w:right w:val="outset" w:color="auto" w:sz="6" w:space="0"/>
            </w:tcBorders>
            <w:vAlign w:val="center"/>
          </w:tcPr>
          <w:p>
            <w:pPr>
              <w:jc w:val="center"/>
              <w:rPr>
                <w:b/>
                <w:szCs w:val="32"/>
              </w:rPr>
            </w:pPr>
            <w:r>
              <w:rPr>
                <w:b/>
                <w:szCs w:val="32"/>
              </w:rPr>
              <w:t xml:space="preserve">专栏13  </w:t>
            </w:r>
            <w:r>
              <w:rPr>
                <w:rFonts w:hint="eastAsia"/>
                <w:b/>
                <w:szCs w:val="32"/>
              </w:rPr>
              <w:t xml:space="preserve"> </w:t>
            </w:r>
            <w:r>
              <w:rPr>
                <w:b/>
                <w:szCs w:val="32"/>
              </w:rPr>
              <w:t xml:space="preserve"> 防范水利电力事故重点区域和环节</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8844" w:type="dxa"/>
            <w:tcBorders>
              <w:top w:val="outset" w:color="auto" w:sz="6" w:space="0"/>
              <w:left w:val="outset" w:color="auto" w:sz="6" w:space="0"/>
              <w:bottom w:val="outset" w:color="auto" w:sz="6" w:space="0"/>
              <w:right w:val="outset" w:color="auto" w:sz="6" w:space="0"/>
            </w:tcBorders>
            <w:vAlign w:val="center"/>
          </w:tcPr>
          <w:p>
            <w:pPr>
              <w:ind w:firstLine="640" w:firstLineChars="200"/>
              <w:rPr>
                <w:szCs w:val="32"/>
              </w:rPr>
            </w:pPr>
            <w:r>
              <w:rPr>
                <w:szCs w:val="32"/>
              </w:rPr>
              <w:t>重点区域：各类水利、电力建设项目施工现场，大、中、小型水库，电站（变电站、高压输电线路走廊）。</w:t>
            </w:r>
          </w:p>
          <w:p>
            <w:pPr>
              <w:ind w:firstLine="640" w:firstLineChars="200"/>
              <w:rPr>
                <w:szCs w:val="32"/>
              </w:rPr>
            </w:pPr>
            <w:r>
              <w:rPr>
                <w:szCs w:val="32"/>
              </w:rPr>
              <w:t>重点环节：参建单位及人员资质审查，建筑施工机械设备、材料质量检验检测，施工作业现场安全管理。</w:t>
            </w:r>
          </w:p>
        </w:tc>
      </w:tr>
    </w:tbl>
    <w:p>
      <w:pPr>
        <w:ind w:firstLine="640" w:firstLineChars="200"/>
        <w:rPr>
          <w:spacing w:val="-6"/>
          <w:szCs w:val="32"/>
        </w:rPr>
      </w:pPr>
      <w:r>
        <w:rPr>
          <w:szCs w:val="32"/>
        </w:rPr>
        <w:t>14.旅游安全。加强对A级旅游景区（点）、旅行社、星级宾馆、旅游客运等企业的安全监管，强化旅游企业安全生产主体责任。加强A级旅游景区（点）安全设施建设，在危险区域设立警示标志，保障旅游星级宾馆、A级旅游景区（点）消防设施完好、疏散通道畅通。建立完善A级景区（点）容量控制制度，控制高峰时段游人及车辆总量，合理疏导人流和车辆。建立旅游目的地安全风险提示和旅游警示信息发布制度，加快旅游目的地旅游气象、地质灾害、生态环境、流</w:t>
      </w:r>
      <w:r>
        <w:rPr>
          <w:spacing w:val="-6"/>
          <w:szCs w:val="32"/>
        </w:rPr>
        <w:t>量控制等监测和预报预警系统建设，强化旅游应急管理能力。</w:t>
      </w:r>
    </w:p>
    <w:tbl>
      <w:tblPr>
        <w:tblStyle w:val="3"/>
        <w:tblW w:w="0" w:type="auto"/>
        <w:tblInd w:w="0" w:type="dxa"/>
        <w:tblLayout w:type="fixed"/>
        <w:tblCellMar>
          <w:top w:w="0" w:type="dxa"/>
          <w:left w:w="0" w:type="dxa"/>
          <w:bottom w:w="0" w:type="dxa"/>
          <w:right w:w="0" w:type="dxa"/>
        </w:tblCellMar>
      </w:tblPr>
      <w:tblGrid>
        <w:gridCol w:w="8869"/>
      </w:tblGrid>
      <w:tr>
        <w:tblPrEx>
          <w:tblCellMar>
            <w:top w:w="0" w:type="dxa"/>
            <w:left w:w="0" w:type="dxa"/>
            <w:bottom w:w="0" w:type="dxa"/>
            <w:right w:w="0" w:type="dxa"/>
          </w:tblCellMar>
        </w:tblPrEx>
        <w:tc>
          <w:tcPr>
            <w:tcW w:w="8869" w:type="dxa"/>
            <w:tcBorders>
              <w:top w:val="single" w:color="auto" w:sz="8" w:space="0"/>
              <w:left w:val="single" w:color="auto" w:sz="8" w:space="0"/>
              <w:bottom w:val="single" w:color="auto" w:sz="4" w:space="0"/>
              <w:right w:val="single" w:color="auto" w:sz="8" w:space="0"/>
            </w:tcBorders>
            <w:tcMar>
              <w:top w:w="0" w:type="dxa"/>
              <w:left w:w="108" w:type="dxa"/>
              <w:bottom w:w="0" w:type="dxa"/>
              <w:right w:w="108" w:type="dxa"/>
            </w:tcMar>
          </w:tcPr>
          <w:p>
            <w:pPr>
              <w:jc w:val="center"/>
              <w:rPr>
                <w:b/>
                <w:szCs w:val="32"/>
              </w:rPr>
            </w:pPr>
            <w:r>
              <w:rPr>
                <w:b/>
                <w:szCs w:val="32"/>
              </w:rPr>
              <w:t xml:space="preserve">专栏14  </w:t>
            </w:r>
            <w:r>
              <w:rPr>
                <w:rFonts w:hint="eastAsia"/>
                <w:b/>
                <w:szCs w:val="32"/>
              </w:rPr>
              <w:t xml:space="preserve">  </w:t>
            </w:r>
            <w:r>
              <w:rPr>
                <w:b/>
                <w:szCs w:val="32"/>
              </w:rPr>
              <w:t>旅游安全重点地区、重点工作</w:t>
            </w:r>
          </w:p>
        </w:tc>
      </w:tr>
      <w:tr>
        <w:tblPrEx>
          <w:tblCellMar>
            <w:top w:w="0" w:type="dxa"/>
            <w:left w:w="0" w:type="dxa"/>
            <w:bottom w:w="0" w:type="dxa"/>
            <w:right w:w="0" w:type="dxa"/>
          </w:tblCellMar>
        </w:tblPrEx>
        <w:tc>
          <w:tcPr>
            <w:tcW w:w="8869" w:type="dxa"/>
            <w:tcBorders>
              <w:top w:val="single" w:color="auto" w:sz="4" w:space="0"/>
              <w:left w:val="single" w:color="auto" w:sz="8" w:space="0"/>
              <w:bottom w:val="single" w:color="auto" w:sz="8" w:space="0"/>
              <w:right w:val="single" w:color="auto" w:sz="8" w:space="0"/>
            </w:tcBorders>
            <w:tcMar>
              <w:top w:w="0" w:type="dxa"/>
              <w:left w:w="108" w:type="dxa"/>
              <w:bottom w:w="0" w:type="dxa"/>
              <w:right w:w="108" w:type="dxa"/>
            </w:tcMar>
          </w:tcPr>
          <w:p>
            <w:pPr>
              <w:ind w:firstLine="640" w:firstLineChars="200"/>
              <w:rPr>
                <w:szCs w:val="32"/>
              </w:rPr>
            </w:pPr>
            <w:r>
              <w:rPr>
                <w:szCs w:val="32"/>
              </w:rPr>
              <w:t>重点地区：罗平、师宗、会泽、麒麟、陆良、沾益。</w:t>
            </w:r>
          </w:p>
          <w:p>
            <w:pPr>
              <w:ind w:firstLine="640" w:firstLineChars="200"/>
              <w:rPr>
                <w:szCs w:val="32"/>
              </w:rPr>
            </w:pPr>
            <w:r>
              <w:rPr>
                <w:szCs w:val="32"/>
              </w:rPr>
              <w:t>重点工作：旅游景区（点）安全风险评估,设备设施检测检验，景区隐患排查治理。</w:t>
            </w:r>
          </w:p>
        </w:tc>
      </w:tr>
    </w:tbl>
    <w:p>
      <w:pPr>
        <w:ind w:firstLine="640" w:firstLineChars="200"/>
        <w:rPr>
          <w:szCs w:val="32"/>
        </w:rPr>
      </w:pPr>
      <w:r>
        <w:rPr>
          <w:szCs w:val="32"/>
        </w:rPr>
        <w:t>15.学校安全。加强校园安全管理，开展校舍及其他构筑物、学校设施及场所、校园消防、校园周边等安全状况隐患排查治理，加强学校危险物品管理。推广学校安全标准化建设，开展“平安校园”创建活动，探索建立校园安全监测预警系统，健全校园风险防控管理体系。推动中小学校开设安全教育课程，开展安全宣传教育和应急演练。加强校车安全管理，落实校车安全管理主体责任，严把校车技术质量关及驾驶人资格关。到2020年，中小学安全教育课程开设率达到90%以上，“平安校园”创建达标率达到80%以上。</w:t>
      </w:r>
    </w:p>
    <w:tbl>
      <w:tblPr>
        <w:tblStyle w:val="3"/>
        <w:tblW w:w="0" w:type="auto"/>
        <w:tblInd w:w="108" w:type="dxa"/>
        <w:tblLayout w:type="fixed"/>
        <w:tblCellMar>
          <w:top w:w="0" w:type="dxa"/>
          <w:left w:w="0" w:type="dxa"/>
          <w:bottom w:w="0" w:type="dxa"/>
          <w:right w:w="0" w:type="dxa"/>
        </w:tblCellMar>
      </w:tblPr>
      <w:tblGrid>
        <w:gridCol w:w="8844"/>
      </w:tblGrid>
      <w:tr>
        <w:tblPrEx>
          <w:tblCellMar>
            <w:top w:w="0" w:type="dxa"/>
            <w:left w:w="0" w:type="dxa"/>
            <w:bottom w:w="0" w:type="dxa"/>
            <w:right w:w="0" w:type="dxa"/>
          </w:tblCellMar>
        </w:tblPrEx>
        <w:tc>
          <w:tcPr>
            <w:tcW w:w="8844" w:type="dxa"/>
            <w:tcBorders>
              <w:top w:val="single" w:color="auto" w:sz="8" w:space="0"/>
              <w:left w:val="single" w:color="auto" w:sz="8" w:space="0"/>
              <w:bottom w:val="single" w:color="auto" w:sz="4" w:space="0"/>
              <w:right w:val="single" w:color="auto" w:sz="8" w:space="0"/>
            </w:tcBorders>
            <w:tcMar>
              <w:top w:w="0" w:type="dxa"/>
              <w:left w:w="108" w:type="dxa"/>
              <w:bottom w:w="0" w:type="dxa"/>
              <w:right w:w="108" w:type="dxa"/>
            </w:tcMar>
          </w:tcPr>
          <w:p>
            <w:pPr>
              <w:jc w:val="center"/>
              <w:rPr>
                <w:b/>
                <w:szCs w:val="32"/>
              </w:rPr>
            </w:pPr>
            <w:r>
              <w:rPr>
                <w:b/>
                <w:szCs w:val="32"/>
              </w:rPr>
              <w:t xml:space="preserve">专栏15 </w:t>
            </w:r>
            <w:r>
              <w:rPr>
                <w:rFonts w:hint="eastAsia"/>
                <w:b/>
                <w:szCs w:val="32"/>
              </w:rPr>
              <w:t xml:space="preserve">  </w:t>
            </w:r>
            <w:r>
              <w:rPr>
                <w:b/>
                <w:szCs w:val="32"/>
              </w:rPr>
              <w:t xml:space="preserve"> 学校安全防范重点区域、重点环节</w:t>
            </w:r>
          </w:p>
        </w:tc>
      </w:tr>
      <w:tr>
        <w:tblPrEx>
          <w:tblCellMar>
            <w:top w:w="0" w:type="dxa"/>
            <w:left w:w="0" w:type="dxa"/>
            <w:bottom w:w="0" w:type="dxa"/>
            <w:right w:w="0" w:type="dxa"/>
          </w:tblCellMar>
        </w:tblPrEx>
        <w:tc>
          <w:tcPr>
            <w:tcW w:w="8844" w:type="dxa"/>
            <w:tcBorders>
              <w:top w:val="single" w:color="auto" w:sz="4" w:space="0"/>
              <w:left w:val="single" w:color="auto" w:sz="8" w:space="0"/>
              <w:bottom w:val="single" w:color="auto" w:sz="8" w:space="0"/>
              <w:right w:val="single" w:color="auto" w:sz="8" w:space="0"/>
            </w:tcBorders>
            <w:tcMar>
              <w:top w:w="0" w:type="dxa"/>
              <w:left w:w="108" w:type="dxa"/>
              <w:bottom w:w="0" w:type="dxa"/>
              <w:right w:w="108" w:type="dxa"/>
            </w:tcMar>
          </w:tcPr>
          <w:p>
            <w:pPr>
              <w:ind w:firstLine="640" w:firstLineChars="200"/>
              <w:rPr>
                <w:szCs w:val="32"/>
              </w:rPr>
            </w:pPr>
            <w:r>
              <w:rPr>
                <w:szCs w:val="32"/>
              </w:rPr>
              <w:t>重点区域：各类中小学校、幼儿园。</w:t>
            </w:r>
          </w:p>
          <w:p>
            <w:pPr>
              <w:ind w:firstLine="640" w:firstLineChars="200"/>
              <w:rPr>
                <w:szCs w:val="32"/>
              </w:rPr>
            </w:pPr>
            <w:r>
              <w:rPr>
                <w:szCs w:val="32"/>
              </w:rPr>
              <w:t>重点环节：学校建筑设施安全、校园消防安全、校车安全管理、安全宣传教育与应急演练及日常安全管理。</w:t>
            </w:r>
          </w:p>
        </w:tc>
      </w:tr>
    </w:tbl>
    <w:p>
      <w:pPr>
        <w:ind w:firstLine="640" w:firstLineChars="200"/>
        <w:rPr>
          <w:szCs w:val="32"/>
        </w:rPr>
      </w:pPr>
      <w:r>
        <w:rPr>
          <w:szCs w:val="32"/>
        </w:rPr>
        <w:t>16.其他行业领域。抓好机场建设、铁路、水路、气象、等行业领域和食品、药品及其他农产品生产加工企业安全管理，明确和落实安全管理责任，加强监督检查，及时发现消除安全隐患，严厉打击非法违法生产经营行为。加强新建机场项目和铁路建设安全管理，落实属地管理责任。加强渔业船舶检验及船舶驾驶人员安全资格培训，确保渔业船舶适航性。落实防雷装置年度定期检测制度，加强气象灾害监测预警。严格食品、药品和其他农产品生产加工环节的安全管理。建立行业安全生产状况信息库，推动行业企业安全生产标准化建设。</w:t>
      </w:r>
    </w:p>
    <w:p>
      <w:pPr>
        <w:spacing w:line="550" w:lineRule="exact"/>
        <w:ind w:firstLine="640" w:firstLineChars="200"/>
        <w:rPr>
          <w:rFonts w:hint="eastAsia" w:ascii="方正楷体_GBK" w:eastAsia="方正楷体_GBK"/>
          <w:szCs w:val="32"/>
        </w:rPr>
      </w:pPr>
      <w:r>
        <w:rPr>
          <w:rFonts w:hint="eastAsia" w:ascii="方正楷体_GBK" w:eastAsia="方正楷体_GBK"/>
          <w:szCs w:val="32"/>
        </w:rPr>
        <w:t>（五）推进职业危害防治，创建健康作业环境</w:t>
      </w:r>
    </w:p>
    <w:p>
      <w:pPr>
        <w:spacing w:line="550" w:lineRule="exact"/>
        <w:ind w:firstLine="640" w:firstLineChars="200"/>
        <w:rPr>
          <w:szCs w:val="32"/>
        </w:rPr>
      </w:pPr>
      <w:r>
        <w:rPr>
          <w:szCs w:val="32"/>
        </w:rPr>
        <w:t>1.建立职业危害防控体系。理顺职业卫生监管体制，加强市、县、乡职业卫生监管机构和队伍建设，完善职业病防治联席会议机制，加强部门间的协调配合。改革完善建设项目职业卫生“三同时”制度，推动安全生产和职业卫生“三同时”一体化实施。将职业病防治工作纳入安全生产目标责任考核范围，同时部署、同时推进、同步考核。加强职业卫生技术服务机构监管，促进技术服务机构依法规范执业。</w:t>
      </w:r>
    </w:p>
    <w:p>
      <w:pPr>
        <w:spacing w:line="550" w:lineRule="exact"/>
        <w:ind w:firstLine="640" w:firstLineChars="200"/>
        <w:rPr>
          <w:szCs w:val="32"/>
        </w:rPr>
      </w:pPr>
      <w:r>
        <w:rPr>
          <w:szCs w:val="32"/>
        </w:rPr>
        <w:t>2.加强职业危害检测监控。开展职业病危害状况普查，摸清职业病危害重点行业、重点地区、重点企业、重点人群，建立健全职业病危害数据库。开展工作场所职业病危害因素的定期检测和评估，加强工作场所职业危害因素动态监测。推进职业病危害网上申报。到2020年，用人单位职业危害申报率达到90%以上。</w:t>
      </w:r>
    </w:p>
    <w:p>
      <w:pPr>
        <w:spacing w:line="550" w:lineRule="exact"/>
        <w:ind w:firstLine="640" w:firstLineChars="200"/>
        <w:rPr>
          <w:szCs w:val="32"/>
        </w:rPr>
      </w:pPr>
      <w:r>
        <w:rPr>
          <w:szCs w:val="32"/>
        </w:rPr>
        <w:t>3.强化职业危害监督检查。持续开展作业场所职业危害专项治理行动，以矿山开采、水泥制造、金属冶炼、化工生产等职业病危害严重的行业领域为重点，采取技术改造、设备更新以及关闭退出等措施，整治粉尘、有毒物质危害严重的企业，加强监管执法，督促企业落实职业病防治主体责任。到2020年，工作场所职业危害因素监测率及接触职业危害作业人员职业健康体检率达到80%以上。</w:t>
      </w:r>
    </w:p>
    <w:p>
      <w:pPr>
        <w:spacing w:line="550" w:lineRule="exact"/>
        <w:ind w:firstLine="640" w:firstLineChars="200"/>
        <w:rPr>
          <w:szCs w:val="32"/>
        </w:rPr>
      </w:pPr>
      <w:r>
        <w:rPr>
          <w:szCs w:val="32"/>
        </w:rPr>
        <w:t>4.创建健康工作环境。推进用人单位职业卫生基础建设，加强职业卫生宣传教育培训工作，强化职业危害防护用品监督管理和劳动者职业健康监护监管，切实提高用人单位职业病危害防控能力。鼓励企业开展职业健康安全管理体系认证，创建一批职业健康示范型企业。</w:t>
      </w:r>
    </w:p>
    <w:tbl>
      <w:tblPr>
        <w:tblStyle w:val="3"/>
        <w:tblW w:w="0" w:type="auto"/>
        <w:tblInd w:w="0" w:type="dxa"/>
        <w:tblLayout w:type="fixed"/>
        <w:tblCellMar>
          <w:top w:w="0" w:type="dxa"/>
          <w:left w:w="0" w:type="dxa"/>
          <w:bottom w:w="0" w:type="dxa"/>
          <w:right w:w="0" w:type="dxa"/>
        </w:tblCellMar>
      </w:tblPr>
      <w:tblGrid>
        <w:gridCol w:w="8844"/>
      </w:tblGrid>
      <w:tr>
        <w:tblPrEx>
          <w:tblCellMar>
            <w:top w:w="0" w:type="dxa"/>
            <w:left w:w="0" w:type="dxa"/>
            <w:bottom w:w="0" w:type="dxa"/>
            <w:right w:w="0" w:type="dxa"/>
          </w:tblCellMar>
        </w:tblPrEx>
        <w:trPr>
          <w:trHeight w:val="15" w:hRule="atLeast"/>
        </w:trPr>
        <w:tc>
          <w:tcPr>
            <w:tcW w:w="8844" w:type="dxa"/>
            <w:tcBorders>
              <w:top w:val="single" w:color="auto" w:sz="4" w:space="0"/>
              <w:left w:val="single" w:color="auto" w:sz="4" w:space="0"/>
              <w:bottom w:val="single" w:color="auto" w:sz="4" w:space="0"/>
              <w:right w:val="single" w:color="auto" w:sz="4" w:space="0"/>
            </w:tcBorders>
            <w:vAlign w:val="center"/>
          </w:tcPr>
          <w:p>
            <w:pPr>
              <w:jc w:val="center"/>
              <w:rPr>
                <w:b/>
                <w:szCs w:val="32"/>
              </w:rPr>
            </w:pPr>
            <w:r>
              <w:rPr>
                <w:b/>
                <w:szCs w:val="32"/>
              </w:rPr>
              <w:t>专栏16  职业病危害治理防范重点行业领域、重点工作</w:t>
            </w:r>
          </w:p>
        </w:tc>
      </w:tr>
      <w:tr>
        <w:tblPrEx>
          <w:tblCellMar>
            <w:top w:w="0" w:type="dxa"/>
            <w:left w:w="0" w:type="dxa"/>
            <w:bottom w:w="0" w:type="dxa"/>
            <w:right w:w="0" w:type="dxa"/>
          </w:tblCellMar>
        </w:tblPrEx>
        <w:trPr>
          <w:trHeight w:val="533" w:hRule="atLeast"/>
        </w:trPr>
        <w:tc>
          <w:tcPr>
            <w:tcW w:w="8844" w:type="dxa"/>
            <w:tcBorders>
              <w:top w:val="single" w:color="auto" w:sz="4" w:space="0"/>
              <w:left w:val="single" w:color="auto" w:sz="4" w:space="0"/>
              <w:bottom w:val="single" w:color="auto" w:sz="4" w:space="0"/>
              <w:right w:val="single" w:color="auto" w:sz="4" w:space="0"/>
            </w:tcBorders>
            <w:vAlign w:val="center"/>
          </w:tcPr>
          <w:p>
            <w:pPr>
              <w:ind w:firstLine="640" w:firstLineChars="200"/>
              <w:rPr>
                <w:szCs w:val="32"/>
              </w:rPr>
            </w:pPr>
            <w:r>
              <w:rPr>
                <w:szCs w:val="32"/>
              </w:rPr>
              <w:t>重点领域：以防治矽肺、石棉肺等尘肺病为重点的粉尘危害，以防治严重职业中毒为重点的苯、甲醛等高毒物质危害和以防范铅、铬等重金属危害，石英砂加工、木质家具制造、石棉制品、矿山开采、石材加工、水泥制造、陶瓷制造和金属制品以及涉爆粉尘等领域。</w:t>
            </w:r>
          </w:p>
          <w:p>
            <w:pPr>
              <w:ind w:firstLine="640" w:firstLineChars="200"/>
              <w:rPr>
                <w:szCs w:val="32"/>
              </w:rPr>
            </w:pPr>
            <w:r>
              <w:rPr>
                <w:szCs w:val="32"/>
              </w:rPr>
              <w:t>重点工作：全面普查全市职业病危害状况，开展粉尘、高毒物质危害防治；建立企业职业健康监护信息化档案、从业人员职业健康信息数据库、从业人员职业病动态监管平台和职业健康监护信息系统，搭建职业病危害防治信息共享平台。加强和规范职业卫生技术服务机构。到2020年，全市建立起健全完善的职业卫生监管体系。</w:t>
            </w:r>
          </w:p>
        </w:tc>
      </w:tr>
    </w:tbl>
    <w:p>
      <w:pPr>
        <w:ind w:firstLine="640" w:firstLineChars="200"/>
        <w:rPr>
          <w:rFonts w:hint="eastAsia" w:ascii="方正楷体_GBK" w:eastAsia="方正楷体_GBK"/>
          <w:szCs w:val="32"/>
        </w:rPr>
      </w:pPr>
      <w:r>
        <w:rPr>
          <w:rFonts w:hint="eastAsia" w:ascii="方正楷体_GBK" w:eastAsia="方正楷体_GBK"/>
          <w:szCs w:val="32"/>
        </w:rPr>
        <w:t>（六）加强重大风险管理，提高事故防控能力</w:t>
      </w:r>
    </w:p>
    <w:p>
      <w:pPr>
        <w:ind w:firstLine="640" w:firstLineChars="200"/>
        <w:rPr>
          <w:szCs w:val="32"/>
        </w:rPr>
      </w:pPr>
      <w:r>
        <w:rPr>
          <w:szCs w:val="32"/>
        </w:rPr>
        <w:t>1.建立完善隐患排查和风险防控机制。实施安全隐患和风险预控分级、闭环管理，对安全隐患和风险实行分类定级，落实隐患排查、建档、评估、整改、验收、销号闭环管理，落实危险源辩识、风险评估、分级、分责、监控、预警、预报制度。</w:t>
      </w:r>
    </w:p>
    <w:p>
      <w:pPr>
        <w:ind w:firstLine="640" w:firstLineChars="200"/>
        <w:rPr>
          <w:szCs w:val="32"/>
        </w:rPr>
      </w:pPr>
      <w:r>
        <w:rPr>
          <w:szCs w:val="32"/>
        </w:rPr>
        <w:t>2.强化重大隐患整改。按照属地、分级原则，明确和落实各级政府及其有关部门、企业的隐患排查治理工作职责，对重大安全隐患实行挂牌督办、跟踪治理、逐项销号制度。“十三五”期间重大隐患整改率100%。</w:t>
      </w:r>
    </w:p>
    <w:p>
      <w:pPr>
        <w:ind w:firstLine="640" w:firstLineChars="200"/>
        <w:rPr>
          <w:szCs w:val="32"/>
        </w:rPr>
      </w:pPr>
      <w:r>
        <w:rPr>
          <w:szCs w:val="32"/>
        </w:rPr>
        <w:t>3.加强重大危险源监控。建立健全市、县重大危险源动态监管数据库，推进高危行业（领域）企业完善重大危险源安全监控系统，在重大危险源、重点危险化学品生产储存企业、烟花爆竹生产批发企业、煤矿和非煤地下矿山、尾矿库的重点岗位、部位和关键工序安装监控、监测装备、设施及相关系统，构建重大危险源动态监控预警机制。</w:t>
      </w:r>
    </w:p>
    <w:tbl>
      <w:tblPr>
        <w:tblStyle w:val="3"/>
        <w:tblW w:w="0" w:type="auto"/>
        <w:tblInd w:w="0" w:type="dxa"/>
        <w:tblLayout w:type="fixed"/>
        <w:tblCellMar>
          <w:top w:w="0" w:type="dxa"/>
          <w:left w:w="0" w:type="dxa"/>
          <w:bottom w:w="0" w:type="dxa"/>
          <w:right w:w="0" w:type="dxa"/>
        </w:tblCellMar>
      </w:tblPr>
      <w:tblGrid>
        <w:gridCol w:w="8844"/>
      </w:tblGrid>
      <w:tr>
        <w:tblPrEx>
          <w:tblCellMar>
            <w:top w:w="0" w:type="dxa"/>
            <w:left w:w="0" w:type="dxa"/>
            <w:bottom w:w="0" w:type="dxa"/>
            <w:right w:w="0" w:type="dxa"/>
          </w:tblCellMar>
        </w:tblPrEx>
        <w:trPr>
          <w:trHeight w:val="454" w:hRule="atLeast"/>
        </w:trPr>
        <w:tc>
          <w:tcPr>
            <w:tcW w:w="8844" w:type="dxa"/>
            <w:tcBorders>
              <w:top w:val="single" w:color="auto" w:sz="4" w:space="0"/>
              <w:left w:val="single" w:color="auto" w:sz="4" w:space="0"/>
              <w:bottom w:val="single" w:color="auto" w:sz="4" w:space="0"/>
              <w:right w:val="single" w:color="auto" w:sz="4" w:space="0"/>
            </w:tcBorders>
            <w:vAlign w:val="center"/>
          </w:tcPr>
          <w:p>
            <w:pPr>
              <w:jc w:val="center"/>
              <w:rPr>
                <w:b/>
                <w:szCs w:val="32"/>
              </w:rPr>
            </w:pPr>
            <w:r>
              <w:rPr>
                <w:b/>
                <w:szCs w:val="32"/>
              </w:rPr>
              <w:t>专栏17    重大风险管理防控重点工作及环节</w:t>
            </w:r>
          </w:p>
        </w:tc>
      </w:tr>
      <w:tr>
        <w:tblPrEx>
          <w:tblCellMar>
            <w:top w:w="0" w:type="dxa"/>
            <w:left w:w="0" w:type="dxa"/>
            <w:bottom w:w="0" w:type="dxa"/>
            <w:right w:w="0" w:type="dxa"/>
          </w:tblCellMar>
        </w:tblPrEx>
        <w:trPr>
          <w:trHeight w:val="1223" w:hRule="atLeast"/>
        </w:trPr>
        <w:tc>
          <w:tcPr>
            <w:tcW w:w="8844" w:type="dxa"/>
            <w:tcBorders>
              <w:top w:val="single" w:color="auto" w:sz="4" w:space="0"/>
              <w:left w:val="single" w:color="auto" w:sz="4" w:space="0"/>
              <w:bottom w:val="single" w:color="auto" w:sz="4" w:space="0"/>
              <w:right w:val="single" w:color="auto" w:sz="4" w:space="0"/>
            </w:tcBorders>
            <w:vAlign w:val="center"/>
          </w:tcPr>
          <w:p>
            <w:pPr>
              <w:ind w:firstLine="640" w:firstLineChars="200"/>
              <w:rPr>
                <w:spacing w:val="-6"/>
                <w:szCs w:val="32"/>
              </w:rPr>
            </w:pPr>
            <w:r>
              <w:rPr>
                <w:szCs w:val="32"/>
              </w:rPr>
              <w:t>重点工作：</w:t>
            </w:r>
            <w:r>
              <w:rPr>
                <w:spacing w:val="-6"/>
                <w:szCs w:val="32"/>
              </w:rPr>
              <w:t>重大隐患整改（挂牌督办）、重大危险源监控。</w:t>
            </w:r>
          </w:p>
          <w:p>
            <w:pPr>
              <w:ind w:firstLine="640" w:firstLineChars="200"/>
              <w:rPr>
                <w:szCs w:val="32"/>
              </w:rPr>
            </w:pPr>
            <w:r>
              <w:rPr>
                <w:szCs w:val="32"/>
              </w:rPr>
              <w:t>隐患管理：排查检查、登记建档、风险评估、整改治理、验收销号，形成闭环管理。</w:t>
            </w:r>
          </w:p>
          <w:p>
            <w:pPr>
              <w:ind w:firstLine="640" w:firstLineChars="200"/>
              <w:rPr>
                <w:szCs w:val="32"/>
              </w:rPr>
            </w:pPr>
            <w:r>
              <w:rPr>
                <w:szCs w:val="32"/>
              </w:rPr>
              <w:t>整改治理：制定治理方案，落实治理责任、资金、措施、时限和应急预案。</w:t>
            </w:r>
          </w:p>
          <w:p>
            <w:pPr>
              <w:ind w:firstLine="640" w:firstLineChars="200"/>
              <w:rPr>
                <w:szCs w:val="32"/>
              </w:rPr>
            </w:pPr>
            <w:r>
              <w:rPr>
                <w:szCs w:val="32"/>
              </w:rPr>
              <w:t>危险源监控：建立报警、通讯、定位、避险和人身防护系统，实行动态监测监控。</w:t>
            </w:r>
          </w:p>
        </w:tc>
      </w:tr>
    </w:tbl>
    <w:p>
      <w:pPr>
        <w:spacing w:line="530" w:lineRule="exact"/>
        <w:ind w:firstLine="640" w:firstLineChars="200"/>
        <w:rPr>
          <w:rFonts w:hint="eastAsia" w:ascii="方正楷体_GBK" w:eastAsia="方正楷体_GBK"/>
          <w:szCs w:val="32"/>
        </w:rPr>
      </w:pPr>
      <w:r>
        <w:rPr>
          <w:rFonts w:hint="eastAsia" w:ascii="方正楷体_GBK" w:eastAsia="方正楷体_GBK"/>
          <w:szCs w:val="32"/>
        </w:rPr>
        <w:t>（七）推动安全科技进步，提升科技强安能力</w:t>
      </w:r>
    </w:p>
    <w:p>
      <w:pPr>
        <w:spacing w:line="530" w:lineRule="exact"/>
        <w:ind w:firstLine="640" w:firstLineChars="200"/>
        <w:rPr>
          <w:szCs w:val="32"/>
        </w:rPr>
      </w:pPr>
      <w:r>
        <w:rPr>
          <w:szCs w:val="32"/>
        </w:rPr>
        <w:t>1.实施安全科技示范工程。探索“互联网＋安全生产”创新举措，推动互联网、云计算、大数据、物联网等与安全生产监管结合，建立“数字安监”安全生产监管综合平台，全力推进“1+3+5”安全生产大检查长效机制落实，着力提升监管装备水平和监管信息化水平。推动全市安全生产科技资源整合，鼓励在曲普通高校、职业院校增设安全管理专业，培养多层次的安全专业人才。</w:t>
      </w:r>
    </w:p>
    <w:p>
      <w:pPr>
        <w:spacing w:line="530" w:lineRule="exact"/>
        <w:ind w:firstLine="640" w:firstLineChars="200"/>
        <w:rPr>
          <w:szCs w:val="32"/>
        </w:rPr>
      </w:pPr>
      <w:r>
        <w:rPr>
          <w:szCs w:val="32"/>
        </w:rPr>
        <w:t>2.加强技术支撑体系建设。坚持社会化、专业化和市场化原则，整合安全科技资源，培育和发展专业技术服务机构，鼓励支持科研院所、行业协会、专业服务组织和注册安全工程师事务所参与安全生产工作。健全完善市、县安全生产专家库，积极提供安全评价、技术咨询、科学论证、隐患排查治理等安全管理和技术服务。</w:t>
      </w:r>
    </w:p>
    <w:p>
      <w:pPr>
        <w:spacing w:line="530" w:lineRule="exact"/>
        <w:ind w:firstLine="640" w:firstLineChars="200"/>
        <w:rPr>
          <w:szCs w:val="32"/>
        </w:rPr>
      </w:pPr>
      <w:r>
        <w:rPr>
          <w:szCs w:val="32"/>
        </w:rPr>
        <w:t>3.推广应用先进技术装备。支持和鼓励企业加强安全技术改造，淘汰不符合有关安全标准、安全性能低下、职业危害严重、危及安全生产的技术、工艺和装备，提高生产机械化、自动化和信息化水平。在煤矿、非煤矿山、危险化学品、有限空间和粉尘、涉氨、有毒有害等行业领域开展“机械化换人、自动化减人”科技强安专项行动，提高企业安全生产科技保障能力。到2020年底，实现高危作业场所作业人员减少20％以上，大幅提高企业安全生产水平。</w:t>
      </w:r>
    </w:p>
    <w:tbl>
      <w:tblPr>
        <w:tblStyle w:val="3"/>
        <w:tblW w:w="0" w:type="auto"/>
        <w:tblInd w:w="0" w:type="dxa"/>
        <w:tblLayout w:type="fixed"/>
        <w:tblCellMar>
          <w:top w:w="0" w:type="dxa"/>
          <w:left w:w="0" w:type="dxa"/>
          <w:bottom w:w="0" w:type="dxa"/>
          <w:right w:w="0" w:type="dxa"/>
        </w:tblCellMar>
      </w:tblPr>
      <w:tblGrid>
        <w:gridCol w:w="8844"/>
      </w:tblGrid>
      <w:tr>
        <w:tblPrEx>
          <w:tblCellMar>
            <w:top w:w="0" w:type="dxa"/>
            <w:left w:w="0" w:type="dxa"/>
            <w:bottom w:w="0" w:type="dxa"/>
            <w:right w:w="0" w:type="dxa"/>
          </w:tblCellMar>
        </w:tblPrEx>
        <w:trPr>
          <w:trHeight w:val="440" w:hRule="atLeast"/>
        </w:trPr>
        <w:tc>
          <w:tcPr>
            <w:tcW w:w="8844" w:type="dxa"/>
            <w:tcBorders>
              <w:top w:val="single" w:color="auto" w:sz="8" w:space="0"/>
              <w:left w:val="single" w:color="auto" w:sz="8" w:space="0"/>
              <w:bottom w:val="single" w:color="auto" w:sz="4" w:space="0"/>
              <w:right w:val="single" w:color="auto" w:sz="8" w:space="0"/>
            </w:tcBorders>
            <w:tcMar>
              <w:top w:w="0" w:type="dxa"/>
              <w:left w:w="108" w:type="dxa"/>
              <w:bottom w:w="0" w:type="dxa"/>
              <w:right w:w="108" w:type="dxa"/>
            </w:tcMar>
          </w:tcPr>
          <w:p>
            <w:pPr>
              <w:jc w:val="center"/>
              <w:rPr>
                <w:b/>
                <w:szCs w:val="32"/>
              </w:rPr>
            </w:pPr>
            <w:r>
              <w:rPr>
                <w:b/>
                <w:szCs w:val="32"/>
              </w:rPr>
              <w:t>专栏18              安全科技工作重点</w:t>
            </w:r>
          </w:p>
        </w:tc>
      </w:tr>
      <w:tr>
        <w:tblPrEx>
          <w:tblCellMar>
            <w:top w:w="0" w:type="dxa"/>
            <w:left w:w="0" w:type="dxa"/>
            <w:bottom w:w="0" w:type="dxa"/>
            <w:right w:w="0" w:type="dxa"/>
          </w:tblCellMar>
        </w:tblPrEx>
        <w:tc>
          <w:tcPr>
            <w:tcW w:w="8844" w:type="dxa"/>
            <w:tcBorders>
              <w:top w:val="single" w:color="auto" w:sz="4" w:space="0"/>
              <w:left w:val="single" w:color="auto" w:sz="8" w:space="0"/>
              <w:bottom w:val="single" w:color="auto" w:sz="8" w:space="0"/>
              <w:right w:val="single" w:color="auto" w:sz="8" w:space="0"/>
            </w:tcBorders>
            <w:tcMar>
              <w:top w:w="0" w:type="dxa"/>
              <w:left w:w="108" w:type="dxa"/>
              <w:bottom w:w="0" w:type="dxa"/>
              <w:right w:w="108" w:type="dxa"/>
            </w:tcMar>
          </w:tcPr>
          <w:p>
            <w:pPr>
              <w:ind w:firstLine="640" w:firstLineChars="200"/>
              <w:rPr>
                <w:szCs w:val="32"/>
              </w:rPr>
            </w:pPr>
            <w:r>
              <w:rPr>
                <w:szCs w:val="32"/>
              </w:rPr>
              <w:t>重点任务：建设“数字安监”安全生产监管综合平台，全力推进“1+3+5”安全生产大检查长效机制落实；加强安全生产专业技术服务人才队伍建设；开展“机械化换人、自动化减人”科技强安专项行动。</w:t>
            </w:r>
          </w:p>
        </w:tc>
      </w:tr>
    </w:tbl>
    <w:p>
      <w:pPr>
        <w:spacing w:line="530" w:lineRule="exact"/>
        <w:ind w:firstLine="640" w:firstLineChars="200"/>
        <w:rPr>
          <w:rFonts w:hint="eastAsia" w:ascii="方正楷体_GBK" w:eastAsia="方正楷体_GBK"/>
          <w:szCs w:val="32"/>
        </w:rPr>
      </w:pPr>
      <w:r>
        <w:rPr>
          <w:rFonts w:hint="eastAsia" w:ascii="方正楷体_GBK" w:eastAsia="方正楷体_GBK"/>
          <w:szCs w:val="32"/>
        </w:rPr>
        <w:t>（八）健全应急救援体系，提高危机处置能力</w:t>
      </w:r>
    </w:p>
    <w:p>
      <w:pPr>
        <w:spacing w:line="530" w:lineRule="exact"/>
        <w:ind w:firstLine="640" w:firstLineChars="200"/>
        <w:rPr>
          <w:szCs w:val="32"/>
        </w:rPr>
      </w:pPr>
      <w:r>
        <w:rPr>
          <w:szCs w:val="32"/>
        </w:rPr>
        <w:t>1.完善应急救援工作机制 。加强安全生产应急体系建设，健全政府、部门、企业相互之间应急联动机制，完善应急值守和人员经费保障等制度，形成统一指挥、职责明确、运转协调的生产安全应急工作机制。建立完善政府部门、重点行业企业应急预案体系，实现政府部门与企业应急预案有效衔接。加强预案审查备案工作，建立预案数据库。</w:t>
      </w:r>
    </w:p>
    <w:p>
      <w:pPr>
        <w:spacing w:line="530" w:lineRule="exact"/>
        <w:ind w:firstLine="640" w:firstLineChars="200"/>
        <w:rPr>
          <w:szCs w:val="32"/>
        </w:rPr>
      </w:pPr>
      <w:r>
        <w:rPr>
          <w:szCs w:val="32"/>
        </w:rPr>
        <w:t>2.加强应急指挥平台建设。加强市、县两级安全生产应</w:t>
      </w:r>
    </w:p>
    <w:p>
      <w:pPr>
        <w:spacing w:line="530" w:lineRule="exact"/>
        <w:ind w:firstLine="640" w:firstLineChars="200"/>
        <w:rPr>
          <w:spacing w:val="-8"/>
          <w:szCs w:val="32"/>
        </w:rPr>
      </w:pPr>
      <w:r>
        <w:rPr>
          <w:szCs w:val="32"/>
        </w:rPr>
        <w:t>急救援信息指挥平台建设，实现事故信息报送和统计、应急救援资源管理、重大危险源在线监控预警、重特大事故远程指挥和模拟推演等功能。到2020年，市、县（市、区）应急平台建</w:t>
      </w:r>
      <w:r>
        <w:rPr>
          <w:spacing w:val="-8"/>
          <w:szCs w:val="32"/>
        </w:rPr>
        <w:t>设全部完成，基本实现安全生产应急平台体系互联互通和信息共享。</w:t>
      </w:r>
    </w:p>
    <w:p>
      <w:pPr>
        <w:spacing w:line="530" w:lineRule="exact"/>
        <w:ind w:firstLine="640" w:firstLineChars="200"/>
        <w:rPr>
          <w:szCs w:val="32"/>
        </w:rPr>
      </w:pPr>
      <w:r>
        <w:rPr>
          <w:szCs w:val="32"/>
        </w:rPr>
        <w:t>3.加强应急救援队伍建设。整合政府及大中型企业现有资源，推动矿山、危险化学品、消防火灾等专业应急救援队伍建设，采取政企联合、企业联合等多种方式，督促矿山、危险化学品企业依法组建或联合组建专兼职应急救援队伍。加强市、县综合性应急救援队伍建设，推动乡镇综合应急救援分队建设。全面开展各级应急协调指挥人员及各级救援队伍的培训与演练。</w:t>
      </w:r>
    </w:p>
    <w:p>
      <w:pPr>
        <w:spacing w:line="530" w:lineRule="exact"/>
        <w:ind w:firstLine="640" w:firstLineChars="200"/>
        <w:rPr>
          <w:szCs w:val="32"/>
        </w:rPr>
      </w:pPr>
      <w:r>
        <w:rPr>
          <w:szCs w:val="32"/>
        </w:rPr>
        <w:t>4.建立应急物资储备体系。建立健全应急资源共享、统一调度的机制，推动各级政府部门及企业储备必要的应急救援物资和装备。开展辖区、行业可调用工程机械、专用应急装备及主要矿山、危险化学品应急物资的分布状况调查，建立应急资源数据库。建立应急储备物资的更新、轮换、置换、代储等管理制度，制定应急救援补偿与奖励政策。</w:t>
      </w:r>
    </w:p>
    <w:tbl>
      <w:tblPr>
        <w:tblStyle w:val="3"/>
        <w:tblW w:w="0" w:type="auto"/>
        <w:tblInd w:w="0" w:type="dxa"/>
        <w:tblLayout w:type="fixed"/>
        <w:tblCellMar>
          <w:top w:w="0" w:type="dxa"/>
          <w:left w:w="0" w:type="dxa"/>
          <w:bottom w:w="0" w:type="dxa"/>
          <w:right w:w="0" w:type="dxa"/>
        </w:tblCellMar>
      </w:tblPr>
      <w:tblGrid>
        <w:gridCol w:w="8844"/>
      </w:tblGrid>
      <w:tr>
        <w:tblPrEx>
          <w:tblCellMar>
            <w:top w:w="0" w:type="dxa"/>
            <w:left w:w="0" w:type="dxa"/>
            <w:bottom w:w="0" w:type="dxa"/>
            <w:right w:w="0" w:type="dxa"/>
          </w:tblCellMar>
        </w:tblPrEx>
        <w:trPr>
          <w:trHeight w:val="440" w:hRule="atLeast"/>
        </w:trPr>
        <w:tc>
          <w:tcPr>
            <w:tcW w:w="8844" w:type="dxa"/>
            <w:tcBorders>
              <w:top w:val="single" w:color="auto" w:sz="8" w:space="0"/>
              <w:left w:val="single" w:color="auto" w:sz="8" w:space="0"/>
              <w:bottom w:val="single" w:color="auto" w:sz="4" w:space="0"/>
              <w:right w:val="single" w:color="auto" w:sz="8" w:space="0"/>
            </w:tcBorders>
            <w:tcMar>
              <w:top w:w="0" w:type="dxa"/>
              <w:left w:w="108" w:type="dxa"/>
              <w:bottom w:w="0" w:type="dxa"/>
              <w:right w:w="108" w:type="dxa"/>
            </w:tcMar>
          </w:tcPr>
          <w:p>
            <w:pPr>
              <w:jc w:val="center"/>
              <w:rPr>
                <w:b/>
                <w:szCs w:val="32"/>
              </w:rPr>
            </w:pPr>
            <w:r>
              <w:rPr>
                <w:b/>
                <w:szCs w:val="32"/>
              </w:rPr>
              <w:t>专栏19    应急救援体系建设重点任务</w:t>
            </w:r>
          </w:p>
        </w:tc>
      </w:tr>
      <w:tr>
        <w:tblPrEx>
          <w:tblCellMar>
            <w:top w:w="0" w:type="dxa"/>
            <w:left w:w="0" w:type="dxa"/>
            <w:bottom w:w="0" w:type="dxa"/>
            <w:right w:w="0" w:type="dxa"/>
          </w:tblCellMar>
        </w:tblPrEx>
        <w:tc>
          <w:tcPr>
            <w:tcW w:w="8844" w:type="dxa"/>
            <w:tcBorders>
              <w:top w:val="single" w:color="auto" w:sz="4" w:space="0"/>
              <w:left w:val="single" w:color="auto" w:sz="8" w:space="0"/>
              <w:bottom w:val="single" w:color="auto" w:sz="8" w:space="0"/>
              <w:right w:val="single" w:color="auto" w:sz="8" w:space="0"/>
            </w:tcBorders>
            <w:tcMar>
              <w:top w:w="0" w:type="dxa"/>
              <w:left w:w="108" w:type="dxa"/>
              <w:bottom w:w="0" w:type="dxa"/>
              <w:right w:w="108" w:type="dxa"/>
            </w:tcMar>
          </w:tcPr>
          <w:p>
            <w:pPr>
              <w:ind w:firstLine="640" w:firstLineChars="200"/>
              <w:rPr>
                <w:szCs w:val="32"/>
              </w:rPr>
            </w:pPr>
            <w:r>
              <w:rPr>
                <w:szCs w:val="32"/>
              </w:rPr>
              <w:t>重点任务：建设市安全生产应急救援基地，市级、区级、企业三级应急救援队伍建设;应急装备投入;应急物资保障；完善应急管理机制；保障应急救援信息渠道通畅、准确。</w:t>
            </w:r>
          </w:p>
        </w:tc>
      </w:tr>
    </w:tbl>
    <w:p>
      <w:pPr>
        <w:spacing w:line="530" w:lineRule="exact"/>
        <w:ind w:firstLine="640" w:firstLineChars="200"/>
        <w:rPr>
          <w:rFonts w:hint="eastAsia" w:ascii="方正楷体_GBK" w:eastAsia="方正楷体_GBK"/>
          <w:szCs w:val="32"/>
        </w:rPr>
      </w:pPr>
      <w:r>
        <w:rPr>
          <w:rFonts w:hint="eastAsia" w:ascii="方正楷体_GBK" w:eastAsia="方正楷体_GBK"/>
          <w:szCs w:val="32"/>
        </w:rPr>
        <w:t>（九）强化宣传教育培训，提升全民安全素质</w:t>
      </w:r>
    </w:p>
    <w:p>
      <w:pPr>
        <w:spacing w:line="530" w:lineRule="exact"/>
        <w:ind w:firstLine="640" w:firstLineChars="200"/>
        <w:rPr>
          <w:szCs w:val="32"/>
        </w:rPr>
      </w:pPr>
      <w:r>
        <w:rPr>
          <w:szCs w:val="32"/>
        </w:rPr>
        <w:t>1.建立完善安全宣传教育体系。推动建立党委政府统一领导、安全监管和宣传部门协同配合、新闻媒体积极参与的安全生产宣传教育工作体系。把安全生产宣传纳入社会公益性义务宣传范畴，建立党委宣传部门和政府安全监管、教育、新闻、广电等部门工作协调机制和定期研究机制，定期策划重点宣传议题，落实工作责任，确保安全生产实际工作和宣传报道同部署、同推进。</w:t>
      </w:r>
    </w:p>
    <w:p>
      <w:pPr>
        <w:spacing w:line="530" w:lineRule="exact"/>
        <w:ind w:firstLine="640" w:firstLineChars="200"/>
        <w:rPr>
          <w:szCs w:val="32"/>
        </w:rPr>
      </w:pPr>
      <w:r>
        <w:rPr>
          <w:szCs w:val="32"/>
        </w:rPr>
        <w:t>2.大力开展安全宣传教育。创新宣传教育形式，积极构建全媒体、分众化的安全生产宣传教育工作格局。在市、县两级地方报刊、电视台、广播电台及政府和部门网站等开设安全生产宣传教育固定栏目，加强安全文化精品创作，开办安全生产公益电视节目，建设安全生产网站群，用数字化、图表、音频、视频等展现安全生产信息，开展安全发展理念、安全法治等宣传教育，增强全社会安全生产意识，构建全方位、多载体的安全生产社会宣传网络。</w:t>
      </w:r>
    </w:p>
    <w:p>
      <w:pPr>
        <w:spacing w:line="530" w:lineRule="exact"/>
        <w:ind w:firstLine="640" w:firstLineChars="200"/>
        <w:rPr>
          <w:szCs w:val="32"/>
        </w:rPr>
      </w:pPr>
      <w:r>
        <w:rPr>
          <w:szCs w:val="32"/>
        </w:rPr>
        <w:t>3.深入开展群众性安全文化活动。开展全民公共安全教育、警示教育和应急避险教育，扎实推进安全生产宣传教育“七进”行动。持续开展“安全生产月”、“安康杯”等主题实践活动，采用安全生产宣传咨询、文艺表演、知识竞赛、演讲、主题征文等丰富多彩的宣传教育方式，大力营造安全氛围。积极推进安全示范城、示范企业、示范社区、示范工地等创建活动，提高城市安全文化建设水平。</w:t>
      </w:r>
    </w:p>
    <w:p>
      <w:pPr>
        <w:spacing w:line="530" w:lineRule="exact"/>
        <w:ind w:firstLine="640" w:firstLineChars="200"/>
        <w:rPr>
          <w:szCs w:val="32"/>
        </w:rPr>
      </w:pPr>
      <w:r>
        <w:rPr>
          <w:szCs w:val="32"/>
        </w:rPr>
        <w:t>4.强化安全生产教育培训。将安全生产教育培训纳入市、县两级党校和干部培训课程，建立党政领导干部党校培训、学校新生入校、企业新员工进厂的安全生产“三个第一课”教育。积极开展企业员工全员安全培训，强化高危行业企业主要负责人、安全生产管理人员和特种作业人员“三类人员”安全培训考核。推行安全生产考培分离，建立安全生产培训计算机考核制度，提高安全生产培训质量。到2020年，企业主要负责人、安全生产管理人员和特种作业人员“三类人员”培训考核覆盖率达到100%。</w:t>
      </w:r>
    </w:p>
    <w:tbl>
      <w:tblPr>
        <w:tblStyle w:val="3"/>
        <w:tblW w:w="0" w:type="auto"/>
        <w:tblInd w:w="80" w:type="dxa"/>
        <w:tblLayout w:type="fixed"/>
        <w:tblCellMar>
          <w:top w:w="0" w:type="dxa"/>
          <w:left w:w="0" w:type="dxa"/>
          <w:bottom w:w="0" w:type="dxa"/>
          <w:right w:w="0" w:type="dxa"/>
        </w:tblCellMar>
      </w:tblPr>
      <w:tblGrid>
        <w:gridCol w:w="8844"/>
      </w:tblGrid>
      <w:tr>
        <w:tblPrEx>
          <w:tblCellMar>
            <w:top w:w="0" w:type="dxa"/>
            <w:left w:w="0" w:type="dxa"/>
            <w:bottom w:w="0" w:type="dxa"/>
            <w:right w:w="0" w:type="dxa"/>
          </w:tblCellMar>
        </w:tblPrEx>
        <w:trPr>
          <w:trHeight w:val="440" w:hRule="atLeast"/>
        </w:trPr>
        <w:tc>
          <w:tcPr>
            <w:tcW w:w="8844" w:type="dxa"/>
            <w:tcBorders>
              <w:top w:val="single" w:color="auto" w:sz="8" w:space="0"/>
              <w:left w:val="single" w:color="auto" w:sz="8" w:space="0"/>
              <w:bottom w:val="single" w:color="auto" w:sz="4" w:space="0"/>
              <w:right w:val="single" w:color="auto" w:sz="8" w:space="0"/>
            </w:tcBorders>
            <w:tcMar>
              <w:top w:w="0" w:type="dxa"/>
              <w:left w:w="108" w:type="dxa"/>
              <w:bottom w:w="0" w:type="dxa"/>
              <w:right w:w="108" w:type="dxa"/>
            </w:tcMar>
          </w:tcPr>
          <w:p>
            <w:pPr>
              <w:jc w:val="center"/>
              <w:rPr>
                <w:b/>
                <w:szCs w:val="32"/>
              </w:rPr>
            </w:pPr>
            <w:r>
              <w:rPr>
                <w:b/>
                <w:szCs w:val="32"/>
              </w:rPr>
              <w:t>专栏20     安全生产宣传教育重点任务</w:t>
            </w:r>
          </w:p>
        </w:tc>
      </w:tr>
      <w:tr>
        <w:tblPrEx>
          <w:tblCellMar>
            <w:top w:w="0" w:type="dxa"/>
            <w:left w:w="0" w:type="dxa"/>
            <w:bottom w:w="0" w:type="dxa"/>
            <w:right w:w="0" w:type="dxa"/>
          </w:tblCellMar>
        </w:tblPrEx>
        <w:tc>
          <w:tcPr>
            <w:tcW w:w="8844" w:type="dxa"/>
            <w:tcBorders>
              <w:top w:val="single" w:color="auto" w:sz="4" w:space="0"/>
              <w:left w:val="single" w:color="auto" w:sz="8" w:space="0"/>
              <w:bottom w:val="single" w:color="auto" w:sz="8" w:space="0"/>
              <w:right w:val="single" w:color="auto" w:sz="8" w:space="0"/>
            </w:tcBorders>
            <w:tcMar>
              <w:top w:w="0" w:type="dxa"/>
              <w:left w:w="108" w:type="dxa"/>
              <w:bottom w:w="0" w:type="dxa"/>
              <w:right w:w="108" w:type="dxa"/>
            </w:tcMar>
          </w:tcPr>
          <w:p>
            <w:pPr>
              <w:ind w:firstLine="640" w:firstLineChars="200"/>
              <w:rPr>
                <w:szCs w:val="32"/>
              </w:rPr>
            </w:pPr>
            <w:r>
              <w:rPr>
                <w:szCs w:val="32"/>
              </w:rPr>
              <w:t>重点任务：建立覆盖义务教育、专业教育、职业教育、企业教育和社会化宣传教育的全方位的安全生产宣传教育体系；持续开展安全生产大宣传、大培训，积极推进安全文化建设，努力提升社会安全意识。</w:t>
            </w:r>
          </w:p>
        </w:tc>
      </w:tr>
    </w:tbl>
    <w:p>
      <w:pPr>
        <w:spacing w:line="530" w:lineRule="exact"/>
        <w:ind w:firstLine="640" w:firstLineChars="200"/>
        <w:rPr>
          <w:rFonts w:hint="eastAsia" w:ascii="方正楷体_GBK" w:eastAsia="方正楷体_GBK"/>
          <w:szCs w:val="32"/>
        </w:rPr>
      </w:pPr>
      <w:r>
        <w:rPr>
          <w:rFonts w:hint="eastAsia" w:ascii="方正楷体_GBK" w:eastAsia="方正楷体_GBK"/>
          <w:szCs w:val="32"/>
        </w:rPr>
        <w:t>（十）加快监管能力建设，提高安全监管水平</w:t>
      </w:r>
    </w:p>
    <w:p>
      <w:pPr>
        <w:spacing w:line="530" w:lineRule="exact"/>
        <w:ind w:firstLine="640" w:firstLineChars="200"/>
        <w:rPr>
          <w:szCs w:val="32"/>
        </w:rPr>
      </w:pPr>
      <w:r>
        <w:rPr>
          <w:szCs w:val="32"/>
        </w:rPr>
        <w:t>1</w:t>
      </w:r>
      <w:r>
        <w:rPr>
          <w:rFonts w:hint="eastAsia"/>
          <w:szCs w:val="32"/>
        </w:rPr>
        <w:t>.</w:t>
      </w:r>
      <w:r>
        <w:rPr>
          <w:szCs w:val="32"/>
        </w:rPr>
        <w:t>强化安全监管职业能力建设。推进安全生产监管部门工作条件标准化建设，严格落实国家安监总局《安全监管职业能力建设标准》，保障安全监管职业能力建设工作经费，将其足额列入当年财政预算，确保落实到位。到2020年，市、县、乡三级安全生产监管部门工作条件建设100%达到国家基本配置标准。推进其他负有安全监管职责部门的安全监管机构建设，落实人员、装备和经费。探索建立集生产安全、交通、农机、消防、特种设备安全监管于一体的乡镇（街道）、社区（村）安全监管新机制，提高基层安全监管人员待遇，明确工作职责和工作程序，实现规范化管理。</w:t>
      </w:r>
    </w:p>
    <w:p>
      <w:pPr>
        <w:spacing w:line="530" w:lineRule="exact"/>
        <w:ind w:firstLine="640" w:firstLineChars="200"/>
        <w:rPr>
          <w:szCs w:val="32"/>
        </w:rPr>
      </w:pPr>
      <w:r>
        <w:rPr>
          <w:szCs w:val="32"/>
        </w:rPr>
        <w:t>2</w:t>
      </w:r>
      <w:r>
        <w:rPr>
          <w:rFonts w:hint="eastAsia"/>
          <w:szCs w:val="32"/>
        </w:rPr>
        <w:t>.</w:t>
      </w:r>
      <w:r>
        <w:rPr>
          <w:szCs w:val="32"/>
        </w:rPr>
        <w:t>建设专业化的安全监管队伍。建立完善安全监管执法人员选拔培养机制，分级分类建立以岗位职责为基础的能力评价体系。推进安全监管专业技术人才队伍建设，大力开展安全监管监察执法人员业务培训，提高安全监管人员专业化水平。对在岗人员原则上每2—3年轮训一次，所有人员都要经执法资格培训考试合格后方可执证上岗。到2020年，各级安全监管监察执法人员的执法资格培训及持证上岗率达到100%，专业技术业务培训覆盖率达到100%。</w:t>
      </w:r>
    </w:p>
    <w:p>
      <w:pPr>
        <w:spacing w:line="530" w:lineRule="exact"/>
        <w:ind w:firstLine="640" w:firstLineChars="200"/>
        <w:rPr>
          <w:szCs w:val="32"/>
        </w:rPr>
      </w:pPr>
      <w:r>
        <w:rPr>
          <w:szCs w:val="32"/>
        </w:rPr>
        <w:t>3</w:t>
      </w:r>
      <w:r>
        <w:rPr>
          <w:rFonts w:hint="eastAsia"/>
          <w:szCs w:val="32"/>
        </w:rPr>
        <w:t>.</w:t>
      </w:r>
      <w:r>
        <w:rPr>
          <w:szCs w:val="32"/>
        </w:rPr>
        <w:t>提高安全生产监管服务能力。推进安全生产社会管理创新，积极研究和探索科学化、信息化、精细化、服务性的监管新模式，创新安全监管监察方式，实现安全监管从传统被动反应型向现代主动应对型转变。持续深入开展“三严三实”和“两学一做”学习教育，以创建“学习型、创新型、服务型”三型机关，做人民满意公务员活动为载体，狠抓作风建设，提升监管能力，打造忠诚履职安全监管队伍。</w:t>
      </w:r>
    </w:p>
    <w:tbl>
      <w:tblPr>
        <w:tblStyle w:val="3"/>
        <w:tblW w:w="0" w:type="auto"/>
        <w:tblInd w:w="80" w:type="dxa"/>
        <w:tblLayout w:type="fixed"/>
        <w:tblCellMar>
          <w:top w:w="0" w:type="dxa"/>
          <w:left w:w="0" w:type="dxa"/>
          <w:bottom w:w="0" w:type="dxa"/>
          <w:right w:w="0" w:type="dxa"/>
        </w:tblCellMar>
      </w:tblPr>
      <w:tblGrid>
        <w:gridCol w:w="8844"/>
      </w:tblGrid>
      <w:tr>
        <w:tblPrEx>
          <w:tblCellMar>
            <w:top w:w="0" w:type="dxa"/>
            <w:left w:w="0" w:type="dxa"/>
            <w:bottom w:w="0" w:type="dxa"/>
            <w:right w:w="0" w:type="dxa"/>
          </w:tblCellMar>
        </w:tblPrEx>
        <w:trPr>
          <w:trHeight w:val="440" w:hRule="atLeast"/>
        </w:trPr>
        <w:tc>
          <w:tcPr>
            <w:tcW w:w="8844" w:type="dxa"/>
            <w:tcBorders>
              <w:top w:val="single" w:color="auto" w:sz="8" w:space="0"/>
              <w:left w:val="single" w:color="auto" w:sz="8" w:space="0"/>
              <w:bottom w:val="single" w:color="auto" w:sz="4" w:space="0"/>
              <w:right w:val="single" w:color="auto" w:sz="8" w:space="0"/>
            </w:tcBorders>
            <w:tcMar>
              <w:top w:w="0" w:type="dxa"/>
              <w:left w:w="108" w:type="dxa"/>
              <w:bottom w:w="0" w:type="dxa"/>
              <w:right w:w="108" w:type="dxa"/>
            </w:tcMar>
          </w:tcPr>
          <w:p>
            <w:pPr>
              <w:spacing w:line="530" w:lineRule="exact"/>
              <w:ind w:firstLine="200"/>
              <w:rPr>
                <w:b/>
                <w:szCs w:val="32"/>
              </w:rPr>
            </w:pPr>
            <w:r>
              <w:rPr>
                <w:b/>
                <w:szCs w:val="32"/>
              </w:rPr>
              <w:t>专栏21      安全监管职业能力建设重点任务</w:t>
            </w:r>
          </w:p>
        </w:tc>
      </w:tr>
      <w:tr>
        <w:tblPrEx>
          <w:tblCellMar>
            <w:top w:w="0" w:type="dxa"/>
            <w:left w:w="0" w:type="dxa"/>
            <w:bottom w:w="0" w:type="dxa"/>
            <w:right w:w="0" w:type="dxa"/>
          </w:tblCellMar>
        </w:tblPrEx>
        <w:tc>
          <w:tcPr>
            <w:tcW w:w="8844" w:type="dxa"/>
            <w:tcBorders>
              <w:top w:val="single" w:color="auto" w:sz="4" w:space="0"/>
              <w:left w:val="single" w:color="auto" w:sz="8" w:space="0"/>
              <w:bottom w:val="single" w:color="auto" w:sz="8" w:space="0"/>
              <w:right w:val="single" w:color="auto" w:sz="8" w:space="0"/>
            </w:tcBorders>
            <w:tcMar>
              <w:top w:w="0" w:type="dxa"/>
              <w:left w:w="108" w:type="dxa"/>
              <w:bottom w:w="0" w:type="dxa"/>
              <w:right w:w="108" w:type="dxa"/>
            </w:tcMar>
          </w:tcPr>
          <w:p>
            <w:pPr>
              <w:ind w:firstLine="640" w:firstLineChars="200"/>
              <w:rPr>
                <w:szCs w:val="32"/>
              </w:rPr>
            </w:pPr>
            <w:r>
              <w:rPr>
                <w:szCs w:val="32"/>
              </w:rPr>
              <w:t>重点任务：实施安全监管职业能力建设工程；吸收引进专</w:t>
            </w:r>
            <w:r>
              <w:rPr>
                <w:spacing w:val="-8"/>
                <w:szCs w:val="32"/>
              </w:rPr>
              <w:t>业技术人才，开展专业培训；加强队伍管理教育，提高服务能力。</w:t>
            </w:r>
          </w:p>
        </w:tc>
      </w:tr>
    </w:tbl>
    <w:p>
      <w:pPr>
        <w:spacing w:line="530" w:lineRule="exact"/>
        <w:ind w:firstLine="640" w:firstLineChars="200"/>
        <w:rPr>
          <w:rFonts w:hint="eastAsia" w:ascii="方正黑体_GBK" w:eastAsia="方正黑体_GBK"/>
          <w:szCs w:val="32"/>
        </w:rPr>
      </w:pPr>
      <w:r>
        <w:rPr>
          <w:rFonts w:hint="eastAsia" w:ascii="方正黑体_GBK" w:eastAsia="方正黑体_GBK"/>
          <w:szCs w:val="32"/>
        </w:rPr>
        <w:t>四、重点工程</w:t>
      </w:r>
    </w:p>
    <w:p>
      <w:pPr>
        <w:spacing w:line="530" w:lineRule="exact"/>
        <w:ind w:firstLine="640" w:firstLineChars="200"/>
        <w:rPr>
          <w:rFonts w:hint="eastAsia"/>
          <w:szCs w:val="32"/>
        </w:rPr>
      </w:pPr>
      <w:r>
        <w:rPr>
          <w:szCs w:val="32"/>
        </w:rPr>
        <w:t>“十三五”期间，曲靖市将围绕抓好10项工作任务，完成10项控制指标，重点推进10项工程建设。</w:t>
      </w:r>
    </w:p>
    <w:p>
      <w:pPr>
        <w:spacing w:line="530" w:lineRule="exact"/>
        <w:ind w:firstLine="640" w:firstLineChars="200"/>
        <w:rPr>
          <w:rFonts w:hint="eastAsia" w:ascii="方正楷体_GBK" w:eastAsia="方正楷体_GBK"/>
          <w:szCs w:val="32"/>
        </w:rPr>
      </w:pPr>
      <w:r>
        <w:rPr>
          <w:rFonts w:hint="eastAsia" w:ascii="方正楷体_GBK" w:eastAsia="方正楷体_GBK"/>
          <w:szCs w:val="32"/>
        </w:rPr>
        <w:t>（一）安全发展示范城市创建工程</w:t>
      </w:r>
    </w:p>
    <w:p>
      <w:pPr>
        <w:spacing w:line="530" w:lineRule="exact"/>
        <w:ind w:firstLine="640" w:firstLineChars="200"/>
        <w:rPr>
          <w:szCs w:val="32"/>
        </w:rPr>
      </w:pPr>
      <w:r>
        <w:rPr>
          <w:szCs w:val="32"/>
        </w:rPr>
        <w:t>“安全发展示范城市”建设将是未来全国城市安全生产发展的方向。根据国家安监总局制定的基本规范，从2016年起，结合全市产业结构调整，转型升级，开展城市安全风险普查，实施城市公共设施、老旧建筑、区域火灾隐患综合治理。积极推进煤矿、非煤矿山转型升级、危险化学品攻坚克难、油气输送管道安全隐患整治、城市地下管廊建设、道路交通安全专项整治、消防基础设施建设等工作。积极实施一批创建项目，大力开展落实企业安全生产主体责任专项行动，实施安全综合防控，推动政府、社会组织及公众等城市治理主体对城市基础设施日常运转、公共事业正常运行、公共空间安全预防实施有效管理，实现城市系统的各要素运转良好，有力提升城市安全运行水平。该项目涉及全市各级各部门各单位，由市政府统一组织领导，各县（市、区）、经开区、各部门、各企事业单位形成合力，齐抓共建。</w:t>
      </w:r>
    </w:p>
    <w:tbl>
      <w:tblPr>
        <w:tblStyle w:val="3"/>
        <w:tblW w:w="0" w:type="auto"/>
        <w:tblInd w:w="0" w:type="dxa"/>
        <w:tblLayout w:type="fixed"/>
        <w:tblCellMar>
          <w:top w:w="0" w:type="dxa"/>
          <w:left w:w="0" w:type="dxa"/>
          <w:bottom w:w="0" w:type="dxa"/>
          <w:right w:w="0" w:type="dxa"/>
        </w:tblCellMar>
      </w:tblPr>
      <w:tblGrid>
        <w:gridCol w:w="8844"/>
      </w:tblGrid>
      <w:tr>
        <w:tblPrEx>
          <w:tblCellMar>
            <w:top w:w="0" w:type="dxa"/>
            <w:left w:w="0" w:type="dxa"/>
            <w:bottom w:w="0" w:type="dxa"/>
            <w:right w:w="0" w:type="dxa"/>
          </w:tblCellMar>
        </w:tblPrEx>
        <w:trPr>
          <w:trHeight w:val="397" w:hRule="atLeast"/>
        </w:trPr>
        <w:tc>
          <w:tcPr>
            <w:tcW w:w="8844" w:type="dxa"/>
            <w:tcBorders>
              <w:top w:val="single" w:color="auto" w:sz="4" w:space="0"/>
              <w:left w:val="single" w:color="auto" w:sz="4" w:space="0"/>
              <w:bottom w:val="single" w:color="auto" w:sz="8" w:space="0"/>
              <w:right w:val="single" w:color="auto" w:sz="4" w:space="0"/>
            </w:tcBorders>
            <w:vAlign w:val="center"/>
          </w:tcPr>
          <w:p>
            <w:pPr>
              <w:spacing w:line="530" w:lineRule="exact"/>
              <w:ind w:firstLine="200"/>
              <w:rPr>
                <w:b/>
                <w:szCs w:val="32"/>
              </w:rPr>
            </w:pPr>
            <w:r>
              <w:rPr>
                <w:b/>
                <w:szCs w:val="32"/>
              </w:rPr>
              <w:t xml:space="preserve">专栏22 </w:t>
            </w:r>
            <w:r>
              <w:rPr>
                <w:rFonts w:hint="eastAsia"/>
                <w:b/>
                <w:szCs w:val="32"/>
              </w:rPr>
              <w:t xml:space="preserve">   </w:t>
            </w:r>
            <w:r>
              <w:rPr>
                <w:b/>
                <w:szCs w:val="32"/>
              </w:rPr>
              <w:t>安全发展城市指标体系及创建要求</w:t>
            </w:r>
          </w:p>
        </w:tc>
      </w:tr>
      <w:tr>
        <w:tblPrEx>
          <w:tblCellMar>
            <w:top w:w="0" w:type="dxa"/>
            <w:left w:w="0" w:type="dxa"/>
            <w:bottom w:w="0" w:type="dxa"/>
            <w:right w:w="0" w:type="dxa"/>
          </w:tblCellMar>
        </w:tblPrEx>
        <w:trPr>
          <w:trHeight w:val="15" w:hRule="atLeast"/>
        </w:trPr>
        <w:tc>
          <w:tcPr>
            <w:tcW w:w="8844" w:type="dxa"/>
            <w:tcBorders>
              <w:top w:val="single" w:color="auto" w:sz="4" w:space="0"/>
              <w:left w:val="single" w:color="auto" w:sz="4" w:space="0"/>
              <w:bottom w:val="single" w:color="auto" w:sz="4" w:space="0"/>
              <w:right w:val="single" w:color="auto" w:sz="4" w:space="0"/>
            </w:tcBorders>
            <w:vAlign w:val="center"/>
          </w:tcPr>
          <w:p>
            <w:pPr>
              <w:spacing w:line="530" w:lineRule="exact"/>
              <w:ind w:firstLine="640" w:firstLineChars="200"/>
              <w:rPr>
                <w:szCs w:val="32"/>
              </w:rPr>
            </w:pPr>
            <w:r>
              <w:rPr>
                <w:szCs w:val="32"/>
              </w:rPr>
              <w:t>按照科学发展、安全发展的要求，紧密结合曲靖市实际，从安全发展理念、产业安全发展、企业本质安全化、行业安全发展、城乡安全发展、安全监管、安全发展保障、安全文化发展等八方面确立曲靖市城市安全发展指标体系。</w:t>
            </w:r>
          </w:p>
          <w:p>
            <w:pPr>
              <w:spacing w:line="530" w:lineRule="exact"/>
              <w:ind w:firstLine="640" w:firstLineChars="200"/>
              <w:rPr>
                <w:szCs w:val="32"/>
              </w:rPr>
            </w:pPr>
            <w:r>
              <w:rPr>
                <w:szCs w:val="32"/>
              </w:rPr>
              <w:t>市、县（市、区）政府要开展城市安全风险普查评估，建立安全风险台账。统筹规划城区水、电、气、热、通讯、消防设施和信息网络等基础设施，建立供水、供电、供气、通信等地下管网信息共享机制。开展城市高层建筑物、体育场馆、集贸市场、学校、医院、车站、会展场馆以及涵洞、桥梁等建筑（设施）隐患排查治理，科学设置安全防护和应急避险设施。做好城市建设、危旧房屋、玻璃幕墙、渣土堆场、燃气管线、地下管廊等区域安全防范，加强基础建设，提升安全保障能力。推进危险化学品和化工企业生产、仓储安全搬迁工程，进一步推动集中发展，绘制危险化学品重大危险源地理信息图，加强重大安全风险管控。实施安全文化建设创新工程，加强全民安全意识教育，培育城市安全文化。</w:t>
            </w:r>
          </w:p>
        </w:tc>
      </w:tr>
    </w:tbl>
    <w:p>
      <w:pPr>
        <w:spacing w:line="530" w:lineRule="exact"/>
        <w:ind w:firstLine="640" w:firstLineChars="200"/>
        <w:rPr>
          <w:rFonts w:hint="eastAsia" w:ascii="方正楷体_GBK" w:eastAsia="方正楷体_GBK"/>
          <w:szCs w:val="32"/>
        </w:rPr>
      </w:pPr>
      <w:r>
        <w:rPr>
          <w:rFonts w:hint="eastAsia" w:ascii="方正楷体_GBK" w:eastAsia="方正楷体_GBK"/>
          <w:szCs w:val="32"/>
        </w:rPr>
        <w:t>（二）安全生产应急救援基地建设工程</w:t>
      </w:r>
    </w:p>
    <w:p>
      <w:pPr>
        <w:spacing w:line="530" w:lineRule="exact"/>
        <w:ind w:firstLine="640" w:firstLineChars="200"/>
        <w:rPr>
          <w:spacing w:val="-8"/>
          <w:szCs w:val="32"/>
        </w:rPr>
      </w:pPr>
      <w:r>
        <w:rPr>
          <w:szCs w:val="32"/>
        </w:rPr>
        <w:t>建设功能齐全、覆盖面广、涵盖多行业、装备精良的市级应急救援基地，承担我市危险化学品、非煤矿山等行业的应急救援任务，同时承担全市范围内应急救援队伍的业务培训和实训演练任务。应急救援基地由场地、房屋建设、装备配备等内容构成，主要包括办公楼、应急监测监控中心、培训楼、培训宿舍楼、综合训练馆、物质储备库等业务用房和有关辅助用房建设，配备先</w:t>
      </w:r>
      <w:r>
        <w:rPr>
          <w:spacing w:val="-8"/>
          <w:szCs w:val="32"/>
        </w:rPr>
        <w:t>进适用的应急救援装备与设施，建立安全生产应急指挥信息平台。</w:t>
      </w:r>
    </w:p>
    <w:p>
      <w:pPr>
        <w:spacing w:line="530" w:lineRule="exact"/>
        <w:ind w:firstLine="640" w:firstLineChars="200"/>
        <w:rPr>
          <w:rFonts w:hint="eastAsia" w:ascii="方正楷体_GBK" w:eastAsia="方正楷体_GBK"/>
          <w:szCs w:val="32"/>
        </w:rPr>
      </w:pPr>
      <w:r>
        <w:rPr>
          <w:rFonts w:hint="eastAsia" w:ascii="方正楷体_GBK" w:eastAsia="方正楷体_GBK"/>
          <w:szCs w:val="32"/>
        </w:rPr>
        <w:t>（三）安全生产监管职业能力建设工程</w:t>
      </w:r>
    </w:p>
    <w:p>
      <w:pPr>
        <w:spacing w:line="530" w:lineRule="exact"/>
        <w:ind w:firstLine="640" w:firstLineChars="200"/>
        <w:rPr>
          <w:rFonts w:hint="eastAsia"/>
          <w:szCs w:val="32"/>
        </w:rPr>
      </w:pPr>
      <w:r>
        <w:rPr>
          <w:szCs w:val="32"/>
        </w:rPr>
        <w:t>按国家《安全监管监察职业能力建设标准》要求，完善市、县、乡三级安全监管部门基础设施，逐年配置市、县（市、区）、经开区安监局及乡（镇、街道）、工业园区安监机构安全监管执法装备，改造完善现有基础设施和工作条件，到“十三五”末期达到国家标准要求。</w:t>
      </w:r>
    </w:p>
    <w:p>
      <w:pPr>
        <w:spacing w:line="530" w:lineRule="exact"/>
        <w:ind w:firstLine="640" w:firstLineChars="200"/>
        <w:rPr>
          <w:rFonts w:hint="eastAsia" w:ascii="方正楷体_GBK" w:eastAsia="方正楷体_GBK"/>
          <w:szCs w:val="32"/>
        </w:rPr>
      </w:pPr>
      <w:r>
        <w:rPr>
          <w:rFonts w:hint="eastAsia" w:ascii="方正楷体_GBK" w:eastAsia="方正楷体_GBK"/>
          <w:szCs w:val="32"/>
        </w:rPr>
        <w:t>（四）安全生产综合监管信息平台建设工程</w:t>
      </w:r>
    </w:p>
    <w:p>
      <w:pPr>
        <w:spacing w:line="530" w:lineRule="exact"/>
        <w:ind w:firstLine="640" w:firstLineChars="200"/>
        <w:rPr>
          <w:spacing w:val="-8"/>
          <w:szCs w:val="32"/>
        </w:rPr>
      </w:pPr>
      <w:r>
        <w:rPr>
          <w:szCs w:val="32"/>
        </w:rPr>
        <w:t>依托国家“金安”工程，加强与省在建的安全生产在线监控与应急指挥系统、“1+3+5”安全生产大检查长效机制系统衔接，建设包含10个县（市、区、经开区）及市安委会各成员单位节点的安全生产信息网；完善1个市级、10个县（市、区、经开区）安全生产监管部门局域网和政府网站。建设工程包括安全生产综合监管平台及应急救援指挥、重大危险源监控、隐患排查治理、职业危害监测、企业安全生产信用评估、行政执法监察、行政许可报批、安全生产培训考核、事故快报统计分析、安全生产专家管理、办公自动化等系统。积极应用云计算、物联网、卫星导航定位等信息化技术，实现市—县（市、区）—乡（镇、街道）—</w:t>
      </w:r>
      <w:r>
        <w:rPr>
          <w:spacing w:val="-8"/>
          <w:szCs w:val="32"/>
        </w:rPr>
        <w:t>高危行业企业的四级安全监管部门之间安全信息与资源互通、共享。</w:t>
      </w:r>
    </w:p>
    <w:p>
      <w:pPr>
        <w:spacing w:line="530" w:lineRule="exact"/>
        <w:ind w:firstLine="640" w:firstLineChars="200"/>
        <w:rPr>
          <w:rFonts w:hint="eastAsia" w:ascii="方正楷体_GBK" w:eastAsia="方正楷体_GBK"/>
          <w:szCs w:val="32"/>
        </w:rPr>
      </w:pPr>
      <w:r>
        <w:rPr>
          <w:rFonts w:hint="eastAsia" w:ascii="方正楷体_GBK" w:eastAsia="方正楷体_GBK"/>
          <w:szCs w:val="32"/>
        </w:rPr>
        <w:t>（五）煤矿提升改造和转型升级工程</w:t>
      </w:r>
    </w:p>
    <w:p>
      <w:pPr>
        <w:spacing w:line="530" w:lineRule="exact"/>
        <w:ind w:firstLine="640" w:firstLineChars="200"/>
        <w:rPr>
          <w:szCs w:val="32"/>
        </w:rPr>
      </w:pPr>
      <w:r>
        <w:rPr>
          <w:szCs w:val="32"/>
        </w:rPr>
        <w:t>全力推进煤炭资源整合、煤矿企业兼并重组和改造升级，以瓦斯治理、水害防治、顶板管理、提升运输等为重点，开展煤矿重大灾害防治。以建设安全标准化、管理规范化、采掘机械化、监控网络信息化为目标，积极推进煤矿机械化、自动化改造。建设煤矿安全生产信息化平台，实现市、县、乡三级对煤矿安全生产信息化监控与管理。建设一批瓦斯综合治理和水害、粉尘、火灾、顶板防治示范工程，全面完成国家、省下达的煤矿关闭整合任务及转型升级目标。</w:t>
      </w:r>
    </w:p>
    <w:p>
      <w:pPr>
        <w:spacing w:line="530" w:lineRule="exact"/>
        <w:ind w:firstLine="640" w:firstLineChars="200"/>
        <w:rPr>
          <w:rFonts w:hint="eastAsia" w:ascii="方正楷体_GBK" w:eastAsia="方正楷体_GBK"/>
          <w:szCs w:val="32"/>
        </w:rPr>
      </w:pPr>
      <w:r>
        <w:rPr>
          <w:rFonts w:hint="eastAsia" w:ascii="方正楷体_GBK" w:eastAsia="方正楷体_GBK"/>
          <w:szCs w:val="32"/>
        </w:rPr>
        <w:t>（六）非煤矿山提升改造和转型升级工程</w:t>
      </w:r>
    </w:p>
    <w:p>
      <w:pPr>
        <w:spacing w:line="530" w:lineRule="exact"/>
        <w:ind w:firstLine="640" w:firstLineChars="200"/>
        <w:rPr>
          <w:szCs w:val="32"/>
        </w:rPr>
      </w:pPr>
      <w:r>
        <w:rPr>
          <w:szCs w:val="32"/>
        </w:rPr>
        <w:t>坚持市场主导与政府调控并举，实施非煤矿山“四个一批”改造升级，开展非煤矿山尾矿库、大型采空区等事故隐患排查治理；在露天矿山推广覆土植被和排土（废）场边坡绿化。建设完善地下矿山监测监控系统、井下人员定位系统、紧急避险系统、压风自救系统、供水施救系统和通信联络系统等技术装备。建设完善全市非煤矿山安全监管平台，实现对非煤矿山全方位监管，全面提高非煤矿山安全保障水平。</w:t>
      </w:r>
    </w:p>
    <w:p>
      <w:pPr>
        <w:spacing w:line="530" w:lineRule="exact"/>
        <w:ind w:firstLine="640" w:firstLineChars="200"/>
        <w:rPr>
          <w:rFonts w:hint="eastAsia" w:ascii="方正楷体_GBK" w:eastAsia="方正楷体_GBK"/>
          <w:szCs w:val="32"/>
        </w:rPr>
      </w:pPr>
      <w:r>
        <w:rPr>
          <w:rFonts w:hint="eastAsia" w:ascii="方正楷体_GBK" w:eastAsia="方正楷体_GBK"/>
          <w:szCs w:val="32"/>
        </w:rPr>
        <w:t>（七）危险化学品安全治理工程</w:t>
      </w:r>
    </w:p>
    <w:p>
      <w:pPr>
        <w:spacing w:line="530" w:lineRule="exact"/>
        <w:ind w:firstLine="640" w:firstLineChars="200"/>
        <w:rPr>
          <w:szCs w:val="32"/>
        </w:rPr>
      </w:pPr>
      <w:r>
        <w:rPr>
          <w:szCs w:val="32"/>
        </w:rPr>
        <w:t>强化危险化学品安全源头治理，开展危化品生产、储存、运输企业情况普查和安全评估，实施危险化学品分类分级管理，建立危险化学品监控系统和信息数据库，强化各环节安全管控。开展重大危险源摸底排查、辨识和评估，全面掌握辖区内重大危险源情况，绘制市、县危险化学品重大危险源分布电子图，建立完善重大危险源安全风险数据库，实施动态监控预警。实施不具备安全生产条件的化工企业搬迁、转产和关闭。</w:t>
      </w:r>
    </w:p>
    <w:p>
      <w:pPr>
        <w:spacing w:line="530" w:lineRule="exact"/>
        <w:ind w:firstLine="640" w:firstLineChars="200"/>
        <w:rPr>
          <w:rFonts w:hint="eastAsia" w:ascii="方正楷体_GBK" w:eastAsia="方正楷体_GBK"/>
          <w:szCs w:val="32"/>
        </w:rPr>
      </w:pPr>
      <w:r>
        <w:rPr>
          <w:rFonts w:hint="eastAsia" w:ascii="方正楷体_GBK" w:eastAsia="方正楷体_GBK"/>
          <w:szCs w:val="32"/>
        </w:rPr>
        <w:t>（八）职业危害治理工程</w:t>
      </w:r>
    </w:p>
    <w:p>
      <w:pPr>
        <w:spacing w:line="530" w:lineRule="exact"/>
        <w:ind w:firstLine="640" w:firstLineChars="200"/>
        <w:rPr>
          <w:szCs w:val="32"/>
        </w:rPr>
      </w:pPr>
      <w:r>
        <w:rPr>
          <w:szCs w:val="32"/>
        </w:rPr>
        <w:t>全面普查全市职业病危害状况，建立企业职业健康监护信息化档案、从业人员职业健康信息数据库、从业人员职业病动态监管平台和职业健康监护信息系统。开展化工、冶金、建筑、矿山、建材等职业危害较严重的行业职业危害因素检测、评价与控制。开展粉尘危害综合治理和中毒隐患防范治理，推行职业健康示范企业创建活动，树立一批职业健康示范企业典型。</w:t>
      </w:r>
    </w:p>
    <w:p>
      <w:pPr>
        <w:spacing w:line="530" w:lineRule="exact"/>
        <w:ind w:firstLine="640" w:firstLineChars="200"/>
        <w:rPr>
          <w:rFonts w:hint="eastAsia"/>
          <w:szCs w:val="32"/>
        </w:rPr>
      </w:pPr>
      <w:r>
        <w:rPr>
          <w:rFonts w:hint="eastAsia" w:ascii="方正楷体_GBK" w:eastAsia="方正楷体_GBK"/>
          <w:szCs w:val="32"/>
        </w:rPr>
        <w:t>（九）安全文化建设工程</w:t>
      </w:r>
    </w:p>
    <w:p>
      <w:pPr>
        <w:spacing w:line="530" w:lineRule="exact"/>
        <w:ind w:firstLine="640" w:firstLineChars="200"/>
        <w:rPr>
          <w:szCs w:val="32"/>
        </w:rPr>
      </w:pPr>
      <w:r>
        <w:rPr>
          <w:szCs w:val="32"/>
        </w:rPr>
        <w:t>全面开展安全生产宣传教育“七进”活动，在县（市、区）、乡镇（街道）、社区（村）和企业开展安全文化创建活动，推进安全社区建设。实施安全文化建设创新工程，加强全民安全意识教育，培育城市安全文化。建设集企业负责人、安全管理人员及特种作业人员考核培训、安全宣传教育、职业健康教育、警示教育和安全文化建设等为一体的市安全生产教育培训考试中心，设置计算机考试机房、多媒体教室、事故警示教育展览、播放液晶屏、安全宣传栏等内容。创建一批省、市级安全社区、安全文化示范企业。</w:t>
      </w:r>
    </w:p>
    <w:p>
      <w:pPr>
        <w:spacing w:line="530" w:lineRule="exact"/>
        <w:ind w:firstLine="640" w:firstLineChars="200"/>
        <w:rPr>
          <w:rFonts w:hint="eastAsia" w:ascii="方正楷体_GBK" w:eastAsia="方正楷体_GBK"/>
          <w:szCs w:val="32"/>
        </w:rPr>
      </w:pPr>
      <w:r>
        <w:rPr>
          <w:rFonts w:hint="eastAsia" w:ascii="方正楷体_GBK" w:eastAsia="方正楷体_GBK"/>
          <w:szCs w:val="32"/>
        </w:rPr>
        <w:t>（十）公共安全保障工程</w:t>
      </w:r>
    </w:p>
    <w:p>
      <w:pPr>
        <w:spacing w:line="530" w:lineRule="exact"/>
        <w:ind w:firstLine="640" w:firstLineChars="200"/>
        <w:rPr>
          <w:szCs w:val="32"/>
        </w:rPr>
      </w:pPr>
      <w:r>
        <w:rPr>
          <w:szCs w:val="32"/>
        </w:rPr>
        <w:t>统筹规划城区水、电、气、路、照明、消防、通讯设施和信息网络等基础设施，建立供水、供电、供气、通信等管网信息共享机制。</w:t>
      </w:r>
    </w:p>
    <w:p>
      <w:pPr>
        <w:spacing w:line="530" w:lineRule="exact"/>
        <w:ind w:firstLine="640" w:firstLineChars="200"/>
        <w:rPr>
          <w:szCs w:val="32"/>
        </w:rPr>
      </w:pPr>
      <w:r>
        <w:rPr>
          <w:szCs w:val="32"/>
        </w:rPr>
        <w:t>1</w:t>
      </w:r>
      <w:r>
        <w:rPr>
          <w:rFonts w:hint="eastAsia"/>
          <w:szCs w:val="32"/>
        </w:rPr>
        <w:t>.</w:t>
      </w:r>
      <w:r>
        <w:rPr>
          <w:szCs w:val="32"/>
        </w:rPr>
        <w:t>县乡公路安全防护生命工程。全面梳理辖区内县乡公路危险路段和隐患点，以临水、临崖、急弯、陡坡路段为重点，突出客运通车线路、校车通行线路，完善道路标志标</w:t>
      </w:r>
    </w:p>
    <w:p>
      <w:pPr>
        <w:spacing w:line="530" w:lineRule="exact"/>
        <w:ind w:firstLine="640" w:firstLineChars="200"/>
        <w:rPr>
          <w:szCs w:val="32"/>
        </w:rPr>
      </w:pPr>
      <w:r>
        <w:rPr>
          <w:szCs w:val="32"/>
        </w:rPr>
        <w:t>线、防撞护栏护墩等安全设施，重点整治公路事故多发路段和道路危险隐患点段。</w:t>
      </w:r>
    </w:p>
    <w:p>
      <w:pPr>
        <w:spacing w:line="530" w:lineRule="exact"/>
        <w:ind w:firstLine="640" w:firstLineChars="200"/>
        <w:rPr>
          <w:szCs w:val="32"/>
        </w:rPr>
      </w:pPr>
      <w:bookmarkStart w:id="7" w:name="_Toc13730"/>
      <w:bookmarkStart w:id="8" w:name="_Toc24961"/>
      <w:bookmarkStart w:id="9" w:name="_Toc14047"/>
      <w:bookmarkStart w:id="10" w:name="_Toc22687"/>
      <w:bookmarkStart w:id="11" w:name="_Toc32053"/>
      <w:bookmarkStart w:id="12" w:name="_Toc456107449"/>
      <w:r>
        <w:rPr>
          <w:szCs w:val="32"/>
        </w:rPr>
        <w:t>2</w:t>
      </w:r>
      <w:r>
        <w:rPr>
          <w:rFonts w:hint="eastAsia"/>
          <w:szCs w:val="32"/>
        </w:rPr>
        <w:t>.</w:t>
      </w:r>
      <w:r>
        <w:rPr>
          <w:szCs w:val="32"/>
        </w:rPr>
        <w:t>主干公路交通安全防控监测网</w:t>
      </w:r>
      <w:bookmarkEnd w:id="7"/>
      <w:bookmarkEnd w:id="8"/>
      <w:bookmarkEnd w:id="9"/>
      <w:bookmarkEnd w:id="10"/>
      <w:bookmarkEnd w:id="11"/>
      <w:bookmarkEnd w:id="12"/>
      <w:r>
        <w:rPr>
          <w:szCs w:val="32"/>
        </w:rPr>
        <w:t>建设工程按省规划要求，建成以市公安交通管理指挥中心（指挥室）为依托，以公安交管部门机动车缉查布控系统为基础，集交通运行监测、安全风险研判、重点车辆查询、应急指挥调度、勤务监督考核等功能为一体的市级公安交通集成指挥平台，并接入国家、省防控监测网，基本实现可视化指挥调度。努力推进交通运输、公安交管部门高速公路信息化监控设施互连互通、设施设备共享、监控信息资源共享。</w:t>
      </w:r>
    </w:p>
    <w:p>
      <w:pPr>
        <w:spacing w:line="530" w:lineRule="exact"/>
        <w:ind w:firstLine="640" w:firstLineChars="200"/>
        <w:rPr>
          <w:szCs w:val="32"/>
        </w:rPr>
      </w:pPr>
      <w:r>
        <w:rPr>
          <w:szCs w:val="32"/>
        </w:rPr>
        <w:t>3.城市公共基础设施安全整治工程。以人员密集场所、高层建筑、在建工程和城市公共基础设施为重点，加大对城市交通设施、隧道、桥梁、输油气管道、城市燃气与化学品输送管网隐患的排查治理，加强油气设施保护管理，推进油气管网及其附属设施安全监测，加强重大火灾隐患治理。实施中小学校舍加固改造。</w:t>
      </w:r>
    </w:p>
    <w:p>
      <w:pPr>
        <w:spacing w:line="530" w:lineRule="exact"/>
        <w:ind w:firstLine="640" w:firstLineChars="200"/>
        <w:rPr>
          <w:szCs w:val="32"/>
        </w:rPr>
      </w:pPr>
      <w:r>
        <w:rPr>
          <w:szCs w:val="32"/>
        </w:rPr>
        <w:t>4.消防战勤保障能力建设工程。建设应急物资储备库，储备必须的应急救援物资，实现一次满足500名救援人员的保障需求。积极提升灭火和应急救援能力，实现全市10个综合应急救援大队按照《县级综合性（消防）应急救援装备配备标准》，配齐应急救援装备；11个公安消防大队、16个现役执勤中队按照《城市消防站建设标准》，配齐灭火救援装备，进一步提升消防战勤保障能力。</w:t>
      </w:r>
    </w:p>
    <w:p>
      <w:pPr>
        <w:spacing w:line="530" w:lineRule="exact"/>
        <w:ind w:firstLine="640" w:firstLineChars="200"/>
        <w:rPr>
          <w:szCs w:val="32"/>
        </w:rPr>
      </w:pPr>
      <w:r>
        <w:rPr>
          <w:szCs w:val="32"/>
        </w:rPr>
        <w:t>《规划》10项重点工程具体实施概算见附表。</w:t>
      </w:r>
    </w:p>
    <w:p>
      <w:pPr>
        <w:spacing w:line="530" w:lineRule="exact"/>
        <w:ind w:firstLine="640" w:firstLineChars="200"/>
        <w:rPr>
          <w:rFonts w:hint="eastAsia" w:ascii="方正黑体_GBK" w:eastAsia="方正黑体_GBK"/>
          <w:szCs w:val="32"/>
        </w:rPr>
      </w:pPr>
      <w:r>
        <w:rPr>
          <w:rFonts w:hint="eastAsia" w:ascii="方正黑体_GBK" w:eastAsia="方正黑体_GBK"/>
          <w:szCs w:val="32"/>
        </w:rPr>
        <w:t>五、保障措施</w:t>
      </w:r>
    </w:p>
    <w:p>
      <w:pPr>
        <w:spacing w:line="530" w:lineRule="exact"/>
        <w:ind w:firstLine="640" w:firstLineChars="200"/>
        <w:rPr>
          <w:rFonts w:hint="eastAsia" w:ascii="方正楷体_GBK" w:eastAsia="方正楷体_GBK"/>
          <w:szCs w:val="32"/>
        </w:rPr>
      </w:pPr>
      <w:r>
        <w:rPr>
          <w:rFonts w:hint="eastAsia" w:ascii="方正楷体_GBK" w:eastAsia="方正楷体_GBK"/>
          <w:szCs w:val="32"/>
        </w:rPr>
        <w:t>（一）统筹协调部署</w:t>
      </w:r>
    </w:p>
    <w:p>
      <w:pPr>
        <w:spacing w:line="530" w:lineRule="exact"/>
        <w:ind w:firstLine="640" w:firstLineChars="200"/>
        <w:rPr>
          <w:rFonts w:hint="eastAsia"/>
          <w:szCs w:val="32"/>
        </w:rPr>
      </w:pPr>
      <w:r>
        <w:rPr>
          <w:szCs w:val="32"/>
        </w:rPr>
        <w:t>实施本规划，是各级政府及各有关部门的重要责任。各级政府要将安全生产纳入国民经济和社会发展总体布局，加强地区经济和社会发展年度计划及部门年度工作计划与本规划的衔接。要充分发挥各级安全生产委员会的作用，促进部门间协同联动与信息共享，协调解决规划实施中跨部门、跨行业的重大问题，要把完成规划指标、任务及工程项目作为安排部署区域和行业安全生产工作的重要决策依据，以规划统筹、协调政府及有关部门的安全生产工作，形成合力，确保完成规划任务。</w:t>
      </w:r>
    </w:p>
    <w:p>
      <w:pPr>
        <w:spacing w:line="530" w:lineRule="exact"/>
        <w:ind w:firstLine="640" w:firstLineChars="200"/>
        <w:rPr>
          <w:rFonts w:hint="eastAsia" w:ascii="方正楷体_GBK" w:eastAsia="方正楷体_GBK"/>
          <w:szCs w:val="32"/>
        </w:rPr>
      </w:pPr>
      <w:r>
        <w:rPr>
          <w:rFonts w:hint="eastAsia" w:ascii="方正楷体_GBK" w:eastAsia="方正楷体_GBK"/>
          <w:szCs w:val="32"/>
        </w:rPr>
        <w:t>（二）明确责任分工</w:t>
      </w:r>
    </w:p>
    <w:p>
      <w:pPr>
        <w:spacing w:line="530" w:lineRule="exact"/>
        <w:ind w:firstLine="640" w:firstLineChars="200"/>
        <w:rPr>
          <w:szCs w:val="32"/>
        </w:rPr>
      </w:pPr>
      <w:r>
        <w:rPr>
          <w:szCs w:val="32"/>
        </w:rPr>
        <w:t>各级政府和有关部门要按照职责分工，明确规划实施责任主体，制定具体实施方案，逐级分解落实规划主要任务、政策措施和目标指标，细化为年度工作计划，加大工作力度，保障安全投入，引导社会资源，搞好督查检查，使规划实施做到责任有主体、投入有渠道、任务有保障，确保规划提出的各项任务和重点工程落实到位。市安委会要把规划工作任务落实情况和重点工程项目实施进展情况纳入年度安全生产目标责任考核范畴，继续对年度安全生产工作考核实行重奖重惩。</w:t>
      </w:r>
    </w:p>
    <w:p>
      <w:pPr>
        <w:spacing w:line="530" w:lineRule="exact"/>
        <w:ind w:firstLine="640" w:firstLineChars="200"/>
        <w:rPr>
          <w:rFonts w:hint="eastAsia" w:ascii="方正楷体_GBK" w:eastAsia="方正楷体_GBK"/>
          <w:szCs w:val="32"/>
        </w:rPr>
      </w:pPr>
      <w:r>
        <w:rPr>
          <w:rFonts w:hint="eastAsia" w:ascii="方正楷体_GBK" w:eastAsia="方正楷体_GBK"/>
          <w:szCs w:val="32"/>
        </w:rPr>
        <w:t>（三）加大安全投入</w:t>
      </w:r>
    </w:p>
    <w:p>
      <w:pPr>
        <w:spacing w:line="530" w:lineRule="exact"/>
        <w:ind w:firstLine="640" w:firstLineChars="200"/>
        <w:rPr>
          <w:szCs w:val="32"/>
        </w:rPr>
      </w:pPr>
      <w:r>
        <w:rPr>
          <w:szCs w:val="32"/>
        </w:rPr>
        <w:t>建立完善政府、企业和社会共同参与的多元化的安全生</w:t>
      </w:r>
    </w:p>
    <w:p>
      <w:pPr>
        <w:spacing w:line="530" w:lineRule="exact"/>
        <w:ind w:firstLine="640" w:firstLineChars="200"/>
        <w:rPr>
          <w:szCs w:val="32"/>
        </w:rPr>
      </w:pPr>
      <w:r>
        <w:rPr>
          <w:szCs w:val="32"/>
        </w:rPr>
        <w:t>产投入机制。各级人民政府要建立安全生产专项资金制度，将安全生产工作所需经费纳入本地经济社会发展年度计划、政府投资计划，在年度财政公共预算内安排一定的专项资金，重点对列入“十三五”规划的安全生产重点工作任务、重大工程项目予以支持，并做到逐年递增。各部门要按照职责分工，积极争取中央、省专项资金支持。要完善与安全生产相关的财政、金融、税收等经济政策，督促企业依法加大安全投入，落实高危行业安全生产费用提取、安全生产责任保险、安全生产风险抵押金、事故伤亡赔付等制度，保障企业安全经费投入到位。</w:t>
      </w:r>
    </w:p>
    <w:p>
      <w:pPr>
        <w:spacing w:line="530" w:lineRule="exact"/>
        <w:ind w:firstLine="640" w:firstLineChars="200"/>
        <w:rPr>
          <w:rFonts w:hint="eastAsia" w:ascii="方正楷体_GBK" w:eastAsia="方正楷体_GBK"/>
          <w:szCs w:val="32"/>
        </w:rPr>
      </w:pPr>
      <w:r>
        <w:rPr>
          <w:rFonts w:hint="eastAsia" w:ascii="方正楷体_GBK" w:eastAsia="方正楷体_GBK"/>
          <w:szCs w:val="32"/>
        </w:rPr>
        <w:t>（四）搞好考核评估</w:t>
      </w:r>
    </w:p>
    <w:p>
      <w:pPr>
        <w:spacing w:line="530" w:lineRule="exact"/>
        <w:ind w:firstLine="640" w:firstLineChars="200"/>
        <w:rPr>
          <w:szCs w:val="32"/>
        </w:rPr>
      </w:pPr>
      <w:r>
        <w:rPr>
          <w:szCs w:val="32"/>
        </w:rPr>
        <w:t>市安委会办公室要建立规划实施评估考核机制，加强对</w:t>
      </w:r>
    </w:p>
    <w:p>
      <w:pPr>
        <w:spacing w:line="530" w:lineRule="exact"/>
        <w:ind w:firstLine="640" w:firstLineChars="200"/>
        <w:rPr>
          <w:szCs w:val="32"/>
        </w:rPr>
      </w:pPr>
      <w:r>
        <w:rPr>
          <w:szCs w:val="32"/>
        </w:rPr>
        <w:t>规划实施进展的跟踪分析，定期开展规划实施情况考核评估，及时公布规划目标指标、重点项目的实施进展情况，接受社会监督。2018年底和2020年底分别对规划执行情况进行中期评估和终期考核，评估结果作为市政府考核各地各部门绩效的重要依据。</w:t>
      </w:r>
    </w:p>
    <w:p>
      <w:pPr>
        <w:spacing w:line="510" w:lineRule="exact"/>
        <w:ind w:firstLine="640" w:firstLineChars="200"/>
        <w:rPr>
          <w:rFonts w:hint="eastAsia" w:ascii="方正黑体_GBK" w:eastAsia="方正黑体_GBK"/>
          <w:szCs w:val="32"/>
        </w:rPr>
      </w:pPr>
      <w:r>
        <w:rPr>
          <w:rFonts w:hint="eastAsia" w:ascii="方正黑体_GBK" w:eastAsia="方正黑体_GBK"/>
          <w:szCs w:val="32"/>
        </w:rPr>
        <w:t>六、附件</w:t>
      </w:r>
    </w:p>
    <w:tbl>
      <w:tblPr>
        <w:tblStyle w:val="3"/>
        <w:tblpPr w:leftFromText="180" w:rightFromText="180" w:vertAnchor="text" w:horzAnchor="page" w:tblpX="1861" w:tblpY="378"/>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89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trPr>
        <w:tc>
          <w:tcPr>
            <w:tcW w:w="8958" w:type="dxa"/>
            <w:tcBorders>
              <w:top w:val="single" w:color="auto" w:sz="4" w:space="0"/>
              <w:left w:val="single" w:color="auto" w:sz="4" w:space="0"/>
              <w:bottom w:val="single" w:color="auto" w:sz="4" w:space="0"/>
              <w:right w:val="single" w:color="auto" w:sz="4" w:space="0"/>
            </w:tcBorders>
            <w:vAlign w:val="center"/>
          </w:tcPr>
          <w:p>
            <w:pPr>
              <w:spacing w:line="510" w:lineRule="exact"/>
              <w:jc w:val="center"/>
              <w:rPr>
                <w:b/>
                <w:szCs w:val="32"/>
              </w:rPr>
            </w:pPr>
            <w:r>
              <w:rPr>
                <w:b/>
                <w:szCs w:val="32"/>
              </w:rPr>
              <w:t>专栏21</w:t>
            </w:r>
            <w:r>
              <w:rPr>
                <w:rFonts w:hint="eastAsia"/>
                <w:b/>
                <w:szCs w:val="32"/>
              </w:rPr>
              <w:t xml:space="preserve">    </w:t>
            </w:r>
            <w:r>
              <w:rPr>
                <w:b/>
                <w:szCs w:val="32"/>
              </w:rPr>
              <w:t>规划名词解释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c>
          <w:tcPr>
            <w:tcW w:w="8958" w:type="dxa"/>
            <w:tcBorders>
              <w:top w:val="single" w:color="auto" w:sz="4" w:space="0"/>
              <w:left w:val="single" w:color="auto" w:sz="4" w:space="0"/>
              <w:bottom w:val="single" w:color="auto" w:sz="4" w:space="0"/>
              <w:right w:val="single" w:color="auto" w:sz="4" w:space="0"/>
            </w:tcBorders>
          </w:tcPr>
          <w:p>
            <w:pPr>
              <w:spacing w:line="510" w:lineRule="exact"/>
              <w:ind w:firstLine="640" w:firstLineChars="200"/>
              <w:rPr>
                <w:szCs w:val="32"/>
              </w:rPr>
            </w:pPr>
            <w:r>
              <w:rPr>
                <w:szCs w:val="32"/>
              </w:rPr>
              <w:t>1.“四个全面”：指全面建成小康社会、全面深化改革、全面依法治国、全面从严治党。</w:t>
            </w:r>
          </w:p>
          <w:p>
            <w:pPr>
              <w:spacing w:line="510" w:lineRule="exact"/>
              <w:ind w:firstLine="640" w:firstLineChars="200"/>
              <w:rPr>
                <w:szCs w:val="32"/>
              </w:rPr>
            </w:pPr>
            <w:r>
              <w:rPr>
                <w:szCs w:val="32"/>
              </w:rPr>
              <w:t>2.“五位一体”总体布局：指中国特色社会主义事业“经济建设、政治建设、文化建设、社会建设、生态文明建设”五位一体总体布局。</w:t>
            </w:r>
          </w:p>
          <w:p>
            <w:pPr>
              <w:spacing w:line="510" w:lineRule="exact"/>
              <w:ind w:firstLine="640" w:firstLineChars="200"/>
              <w:rPr>
                <w:szCs w:val="32"/>
              </w:rPr>
            </w:pPr>
            <w:r>
              <w:rPr>
                <w:szCs w:val="32"/>
              </w:rPr>
              <w:t>3.“党政同责”：是指各级党委、政府对安全生产工作都负有领导责任，其班子成员按照职责分工分别承担相应的安全生产工作职责。</w:t>
            </w:r>
          </w:p>
          <w:p>
            <w:pPr>
              <w:spacing w:line="510" w:lineRule="exact"/>
              <w:ind w:firstLine="640" w:firstLineChars="200"/>
              <w:rPr>
                <w:szCs w:val="32"/>
              </w:rPr>
            </w:pPr>
            <w:r>
              <w:rPr>
                <w:szCs w:val="32"/>
              </w:rPr>
              <w:t>4.“一岗双责”：指各级党政领导干部在履行岗位业务工作职责的同时，按照“谁主管、谁负责”“管行业必须管安全、管业务必须管安全、管生产经营必须管安全”的原则，履行相应的安全生产工作职责。</w:t>
            </w:r>
          </w:p>
          <w:p>
            <w:pPr>
              <w:spacing w:line="510" w:lineRule="exact"/>
              <w:ind w:firstLine="640" w:firstLineChars="200"/>
              <w:rPr>
                <w:szCs w:val="32"/>
              </w:rPr>
            </w:pPr>
            <w:r>
              <w:rPr>
                <w:szCs w:val="32"/>
              </w:rPr>
              <w:t>5.“四级五覆盖”：指在市、县（市、区）、乡镇（街道）、行政村（社区）四级做到“五个全覆盖”，即“党政同责”全覆盖；“一岗双责”全覆盖；“三个必须”（管行业必须管安全、管业务必须管安全、管生产经营必须管安全）全覆盖；政府（行政）主要负责人担任安委会主任全覆盖；各级安委会办公室定期向本级纪检、组织部门报送安全生产情况全覆盖。</w:t>
            </w:r>
          </w:p>
          <w:p>
            <w:pPr>
              <w:spacing w:line="510" w:lineRule="exact"/>
              <w:ind w:firstLine="640" w:firstLineChars="200"/>
              <w:rPr>
                <w:szCs w:val="32"/>
              </w:rPr>
            </w:pPr>
            <w:r>
              <w:rPr>
                <w:szCs w:val="32"/>
              </w:rPr>
              <w:t>6、监管部门安全生产责任“五落实”：指负有安全监管职责的行业主管部门要按照“管行业必须管安全、管业务必须管安全、管生产经营必须管安全”的要求，做到安全生产责任“五落实”：一是落实“党政同责”，部门党政主要负责人对安全生产工作负总责；二是落实领导班子成员“一岗双责”，部门领导班子成员要在各自分管领域各负其责；三是落实行业领域安全生产监督管理责任，健全工作机构、明确工作职责、充实专业力量；四是落实日常监督检查和指导督促职责，加强本行业领域安全生产监管执法，做好有关事故预防控制，发生重特大事故立即派员到现场指导参与抢险救援、事故调查等工作；五是落实安全生产工作考核奖惩、“一票否决”等制度，建立自我约束、持续改进的安全生产长效机制，按照“谁主管、谁负责”、“谁审批、谁负责”的原则，督促落实企业安全生产主体责任，健全本行业领域安全生产责任体系。</w:t>
            </w:r>
          </w:p>
          <w:p>
            <w:pPr>
              <w:spacing w:line="510" w:lineRule="exact"/>
              <w:ind w:firstLine="640" w:firstLineChars="200"/>
              <w:rPr>
                <w:szCs w:val="32"/>
              </w:rPr>
            </w:pPr>
            <w:r>
              <w:rPr>
                <w:szCs w:val="32"/>
              </w:rPr>
              <w:t>7.企业“五落实五到位”：指企业必须落实“党政同责”要求，董事长、党组织书记、总经理对本企业安全生产工作共同承担领导责任；必须落实安全生产“一岗双责”，所有领导班子成员对分管范围内安全生产工作承担相应职责；必须落实安全生产组织领导机构，成立安全生产委员会，由董事长或总经理担任主任；必须落实安全管理力量，依法设置安全生产管理机构，配齐配强注册安全工程师等专业安全管理人员；必须落实安全生产报告制度，定期向董事会、业绩考核部门报告安全生产情况，并向社会公示；必须做到安全责任到位、安全投入到位、安全培训到位、安全管理到位、应急救援到位。</w:t>
            </w:r>
          </w:p>
          <w:p>
            <w:pPr>
              <w:spacing w:line="510" w:lineRule="exact"/>
              <w:ind w:firstLine="640" w:firstLineChars="200"/>
              <w:rPr>
                <w:szCs w:val="32"/>
              </w:rPr>
            </w:pPr>
            <w:r>
              <w:rPr>
                <w:szCs w:val="32"/>
              </w:rPr>
              <w:t>8、“1+3+5”安全生产大检查长效机制:“1”是指以企业全面开展安全生产“自检自查”为基础，严格落实隐患排查、整改、复查、验收、销号等环节的责任；“3”是指以“部门专项检查、专家明察</w:t>
            </w:r>
            <w:r>
              <w:rPr>
                <w:szCs w:val="32"/>
              </w:rPr>
              <w:t>暗访、政府综合督查”三种方式，强化政府和部门的监管责任；“5”是以建立监</w:t>
            </w:r>
            <w:bookmarkStart w:id="13" w:name="_GoBack"/>
            <w:bookmarkEnd w:id="13"/>
            <w:r>
              <w:rPr>
                <w:szCs w:val="32"/>
              </w:rPr>
              <w:t>管对象目录化管理、一企业一标准对照检查、隐患和问题清单化管理、隐患整改责任化落实、企业自检自查月度申报5项配套机制为保障，确保隐患排查治理有实效。</w:t>
            </w:r>
          </w:p>
          <w:p>
            <w:pPr>
              <w:spacing w:line="510" w:lineRule="exact"/>
              <w:ind w:firstLine="640" w:firstLineChars="200"/>
              <w:rPr>
                <w:szCs w:val="32"/>
              </w:rPr>
            </w:pPr>
            <w:r>
              <w:rPr>
                <w:szCs w:val="32"/>
              </w:rPr>
              <w:t>9.安全生产领域“打非治违”：指打击非法违法生产经营建设行为。</w:t>
            </w:r>
          </w:p>
          <w:p>
            <w:pPr>
              <w:spacing w:line="510" w:lineRule="exact"/>
              <w:ind w:firstLine="640" w:firstLineChars="200"/>
              <w:rPr>
                <w:szCs w:val="32"/>
              </w:rPr>
            </w:pPr>
            <w:r>
              <w:rPr>
                <w:szCs w:val="32"/>
              </w:rPr>
              <w:t>10.“安全生产月”：是经国务院批准，每年6月在全国开展安全生产月活动，是党中央、国务院为宣传安全生产一系列方针政策和普及安全生产法律法规知识、增强全民安全意识的一项重要举措。</w:t>
            </w:r>
          </w:p>
          <w:p>
            <w:pPr>
              <w:spacing w:line="510" w:lineRule="exact"/>
              <w:ind w:firstLine="640" w:firstLineChars="200"/>
              <w:rPr>
                <w:szCs w:val="32"/>
              </w:rPr>
            </w:pPr>
            <w:r>
              <w:rPr>
                <w:szCs w:val="32"/>
              </w:rPr>
              <w:t>11.安全设施“三同时”：指生产经营单位新建、改建、扩建工程项目的安全设施，必须与主体工程同时设计、同时施工、同时投入生产和使用。</w:t>
            </w:r>
          </w:p>
          <w:p>
            <w:pPr>
              <w:spacing w:line="510" w:lineRule="exact"/>
              <w:ind w:firstLine="640" w:firstLineChars="200"/>
              <w:rPr>
                <w:szCs w:val="32"/>
              </w:rPr>
            </w:pPr>
            <w:r>
              <w:rPr>
                <w:szCs w:val="32"/>
              </w:rPr>
              <w:t>12.安全生产“四个一律”：指对非法生产经营建设和经停产整顿仍未达到要求的，一律关闭取缔；对非法违法生产经营建设的有关单位和责任人，一律按规定上限予以经济处罚；对存在违法生产经营建设行为的单位，一律责令停产整顿，并严格落实监管措施；对触犯法律的有关单位和人员，一律依法严格追究法律责任。</w:t>
            </w:r>
          </w:p>
          <w:p>
            <w:pPr>
              <w:spacing w:line="510" w:lineRule="exact"/>
              <w:ind w:firstLine="640" w:firstLineChars="200"/>
              <w:rPr>
                <w:szCs w:val="32"/>
              </w:rPr>
            </w:pPr>
            <w:r>
              <w:rPr>
                <w:szCs w:val="32"/>
              </w:rPr>
              <w:t>13.“四不两直”：指“不发通知、不打招呼、不听汇报、</w:t>
            </w:r>
            <w:r>
              <w:rPr>
                <w:spacing w:val="-8"/>
                <w:szCs w:val="32"/>
              </w:rPr>
              <w:t>不用陪同接待、直奔基层、直插现场”的安全生产暗查暗访制度。</w:t>
            </w:r>
          </w:p>
          <w:p>
            <w:pPr>
              <w:spacing w:line="510" w:lineRule="exact"/>
              <w:ind w:firstLine="640" w:firstLineChars="200"/>
              <w:rPr>
                <w:szCs w:val="32"/>
              </w:rPr>
            </w:pPr>
            <w:r>
              <w:rPr>
                <w:szCs w:val="32"/>
              </w:rPr>
              <w:t>14.“双随机”抽查：指“随机抽取被检查对象、随机选派检查人员”的抽查机制。</w:t>
            </w:r>
          </w:p>
          <w:p>
            <w:pPr>
              <w:spacing w:line="510" w:lineRule="exact"/>
              <w:ind w:firstLine="640" w:firstLineChars="200"/>
              <w:rPr>
                <w:szCs w:val="32"/>
              </w:rPr>
            </w:pPr>
            <w:r>
              <w:rPr>
                <w:szCs w:val="32"/>
              </w:rPr>
              <w:t>15.安全避险“六大系统”： 指监测监控系统、井下人员定位系统、紧急避险系统、压风自救系统、供水施救系统和通信联络系统</w:t>
            </w:r>
          </w:p>
          <w:p>
            <w:pPr>
              <w:spacing w:line="510" w:lineRule="exact"/>
              <w:ind w:firstLine="640" w:firstLineChars="200"/>
              <w:rPr>
                <w:szCs w:val="32"/>
              </w:rPr>
            </w:pPr>
            <w:r>
              <w:rPr>
                <w:szCs w:val="32"/>
              </w:rPr>
              <w:t>16.非煤矿山转型升级“四个一批”：指“达标保留一批、改造升级一批、整合重组一批、淘汰关闭一批”。</w:t>
            </w:r>
          </w:p>
          <w:p>
            <w:pPr>
              <w:spacing w:line="510" w:lineRule="exact"/>
              <w:ind w:firstLine="640" w:firstLineChars="200"/>
              <w:rPr>
                <w:szCs w:val="32"/>
              </w:rPr>
            </w:pPr>
            <w:r>
              <w:rPr>
                <w:szCs w:val="32"/>
              </w:rPr>
              <w:t>17. 危险化学品“两重点、一重大”：指重点监管的危险化工工艺、危险化学品，危险化学品重大危险源。</w:t>
            </w:r>
          </w:p>
          <w:p>
            <w:pPr>
              <w:spacing w:line="510" w:lineRule="exact"/>
              <w:ind w:firstLine="640" w:firstLineChars="200"/>
              <w:rPr>
                <w:szCs w:val="32"/>
              </w:rPr>
            </w:pPr>
            <w:r>
              <w:rPr>
                <w:szCs w:val="32"/>
              </w:rPr>
              <w:t>18、危险化学品专项治理“三个一批”：指“改造提升一批、搬迁重建一批、关闭退出一批”。</w:t>
            </w:r>
          </w:p>
          <w:p>
            <w:pPr>
              <w:spacing w:line="510" w:lineRule="exact"/>
              <w:ind w:firstLine="640" w:firstLineChars="200"/>
              <w:rPr>
                <w:szCs w:val="32"/>
              </w:rPr>
            </w:pPr>
            <w:r>
              <w:rPr>
                <w:szCs w:val="32"/>
              </w:rPr>
              <w:t>19、消防安全“四个能力”：即检查消除火灾隐患能力、扑救初级火灾能力、组织疏散逃生能力、消防宣传教育能力。</w:t>
            </w:r>
          </w:p>
          <w:p>
            <w:pPr>
              <w:spacing w:line="510" w:lineRule="exact"/>
              <w:ind w:firstLine="640" w:firstLineChars="200"/>
              <w:rPr>
                <w:szCs w:val="32"/>
              </w:rPr>
            </w:pPr>
            <w:r>
              <w:rPr>
                <w:szCs w:val="32"/>
              </w:rPr>
              <w:t>20.“机械化换人、自动化减人”：指以机械化生产替换人工作业、以自动化控制减少人为操作，大力提高企业安全生产科技保障能力。</w:t>
            </w:r>
          </w:p>
          <w:p>
            <w:pPr>
              <w:spacing w:line="510" w:lineRule="exact"/>
              <w:ind w:firstLine="640" w:firstLineChars="200"/>
              <w:rPr>
                <w:szCs w:val="32"/>
              </w:rPr>
            </w:pPr>
            <w:r>
              <w:rPr>
                <w:szCs w:val="32"/>
              </w:rPr>
              <w:t>21.“互联网＋安全生产”：指充分发挥互联网在生产要素</w:t>
            </w:r>
            <w:r>
              <w:rPr>
                <w:spacing w:val="-8"/>
                <w:szCs w:val="32"/>
              </w:rPr>
              <w:t>配置中的优化和集成作用，将互联网深度融合于安全生产领域。</w:t>
            </w:r>
          </w:p>
          <w:p>
            <w:pPr>
              <w:spacing w:line="510" w:lineRule="exact"/>
              <w:ind w:firstLine="640" w:firstLineChars="200"/>
              <w:rPr>
                <w:szCs w:val="32"/>
              </w:rPr>
            </w:pPr>
            <w:r>
              <w:rPr>
                <w:szCs w:val="32"/>
              </w:rPr>
              <w:t>22.“金安”工程：全称为国家安全生产信息系统工程，主要是通过信息化的手段建立安全生产的监测、监督、管理、应急响应、快速救援的平台，从而保证人们生活的安全稳定。</w:t>
            </w:r>
          </w:p>
          <w:p>
            <w:pPr>
              <w:spacing w:line="510" w:lineRule="exact"/>
              <w:ind w:firstLine="640" w:firstLineChars="200"/>
              <w:rPr>
                <w:szCs w:val="32"/>
              </w:rPr>
            </w:pPr>
            <w:r>
              <w:rPr>
                <w:szCs w:val="32"/>
              </w:rPr>
              <w:t>23、安全生产宣传教育“七进”活动：国家安全监管总局、中宣部等八部门《关于加强全社会安全生产宣传教育工作的意见》（安监总宣教〔2016〕42号）要求持续推进社会基层单元普及安全生产文化知识，大力推动安全生产文化知识走进企业、学校、机关、社区、农村、家庭、公共场所等基层单元，深入组织开展“七进”活动。</w:t>
            </w:r>
          </w:p>
        </w:tc>
      </w:tr>
    </w:tbl>
    <w:p>
      <w:pPr>
        <w:rPr>
          <w:szCs w:val="32"/>
        </w:rPr>
      </w:pPr>
    </w:p>
    <w:p>
      <w:pPr>
        <w:rPr>
          <w:szCs w:val="32"/>
        </w:rPr>
      </w:pPr>
    </w:p>
    <w:p>
      <w:pPr>
        <w:rPr>
          <w:szCs w:val="32"/>
        </w:rPr>
        <w:sectPr>
          <w:footerReference r:id="rId3" w:type="default"/>
          <w:footerReference r:id="rId4" w:type="even"/>
          <w:pgSz w:w="11906" w:h="16838"/>
          <w:pgMar w:top="2098" w:right="1474" w:bottom="1985" w:left="1588" w:header="851" w:footer="992" w:gutter="0"/>
          <w:cols w:space="720" w:num="1"/>
          <w:docGrid w:type="lines" w:linePitch="579" w:charSpace="21679"/>
        </w:sectPr>
      </w:pPr>
    </w:p>
    <w:p>
      <w:pPr>
        <w:rPr>
          <w:rFonts w:hint="eastAsia" w:ascii="方正小标宋_GBK" w:eastAsia="方正小标宋_GBK"/>
          <w:sz w:val="44"/>
          <w:szCs w:val="44"/>
        </w:rPr>
      </w:pPr>
      <w:r>
        <w:rPr>
          <w:rFonts w:hint="eastAsia" w:ascii="方正小标宋_GBK" w:eastAsia="方正小标宋_GBK"/>
          <w:sz w:val="44"/>
          <w:szCs w:val="44"/>
        </w:rPr>
        <w:t>曲靖市安全生产十三五规划重点工程项目列表（2016——2020年）</w:t>
      </w:r>
    </w:p>
    <w:tbl>
      <w:tblPr>
        <w:tblStyle w:val="3"/>
        <w:tblW w:w="0" w:type="auto"/>
        <w:tblInd w:w="-11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4"/>
        <w:gridCol w:w="1440"/>
        <w:gridCol w:w="8257"/>
        <w:gridCol w:w="1559"/>
        <w:gridCol w:w="1992"/>
        <w:gridCol w:w="15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794" w:type="dxa"/>
            <w:vAlign w:val="center"/>
          </w:tcPr>
          <w:p>
            <w:pPr>
              <w:spacing w:line="480" w:lineRule="exact"/>
              <w:jc w:val="center"/>
              <w:rPr>
                <w:sz w:val="28"/>
                <w:szCs w:val="28"/>
              </w:rPr>
            </w:pPr>
            <w:r>
              <w:rPr>
                <w:rFonts w:hint="eastAsia"/>
                <w:sz w:val="28"/>
                <w:szCs w:val="28"/>
              </w:rPr>
              <w:t>序号</w:t>
            </w:r>
          </w:p>
        </w:tc>
        <w:tc>
          <w:tcPr>
            <w:tcW w:w="1440" w:type="dxa"/>
            <w:vAlign w:val="center"/>
          </w:tcPr>
          <w:p>
            <w:pPr>
              <w:spacing w:line="480" w:lineRule="exact"/>
              <w:jc w:val="center"/>
              <w:rPr>
                <w:sz w:val="28"/>
                <w:szCs w:val="28"/>
              </w:rPr>
            </w:pPr>
            <w:r>
              <w:rPr>
                <w:sz w:val="28"/>
                <w:szCs w:val="28"/>
              </w:rPr>
              <w:t>工程名称</w:t>
            </w:r>
          </w:p>
        </w:tc>
        <w:tc>
          <w:tcPr>
            <w:tcW w:w="8257" w:type="dxa"/>
            <w:vAlign w:val="center"/>
          </w:tcPr>
          <w:p>
            <w:pPr>
              <w:spacing w:line="480" w:lineRule="exact"/>
              <w:jc w:val="center"/>
              <w:rPr>
                <w:sz w:val="28"/>
                <w:szCs w:val="28"/>
              </w:rPr>
            </w:pPr>
            <w:r>
              <w:rPr>
                <w:sz w:val="28"/>
                <w:szCs w:val="28"/>
              </w:rPr>
              <w:t>建设内容</w:t>
            </w:r>
          </w:p>
        </w:tc>
        <w:tc>
          <w:tcPr>
            <w:tcW w:w="1559" w:type="dxa"/>
            <w:vAlign w:val="center"/>
          </w:tcPr>
          <w:p>
            <w:pPr>
              <w:spacing w:line="480" w:lineRule="exact"/>
              <w:jc w:val="center"/>
              <w:rPr>
                <w:rFonts w:hint="eastAsia"/>
                <w:sz w:val="28"/>
                <w:szCs w:val="28"/>
              </w:rPr>
            </w:pPr>
            <w:r>
              <w:rPr>
                <w:sz w:val="28"/>
                <w:szCs w:val="28"/>
              </w:rPr>
              <w:t>投资计划</w:t>
            </w:r>
          </w:p>
        </w:tc>
        <w:tc>
          <w:tcPr>
            <w:tcW w:w="1992" w:type="dxa"/>
            <w:vAlign w:val="center"/>
          </w:tcPr>
          <w:p>
            <w:pPr>
              <w:spacing w:line="360" w:lineRule="exact"/>
              <w:jc w:val="center"/>
              <w:rPr>
                <w:sz w:val="28"/>
                <w:szCs w:val="28"/>
              </w:rPr>
            </w:pPr>
            <w:r>
              <w:rPr>
                <w:sz w:val="28"/>
                <w:szCs w:val="28"/>
              </w:rPr>
              <w:t>资金来源</w:t>
            </w:r>
          </w:p>
        </w:tc>
        <w:tc>
          <w:tcPr>
            <w:tcW w:w="1554" w:type="dxa"/>
            <w:vAlign w:val="center"/>
          </w:tcPr>
          <w:p>
            <w:pPr>
              <w:spacing w:line="480" w:lineRule="exact"/>
              <w:jc w:val="center"/>
              <w:rPr>
                <w:sz w:val="28"/>
                <w:szCs w:val="28"/>
              </w:rPr>
            </w:pPr>
            <w:r>
              <w:rPr>
                <w:sz w:val="28"/>
                <w:szCs w:val="28"/>
              </w:rPr>
              <w:t>建设时间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794" w:type="dxa"/>
            <w:vAlign w:val="center"/>
          </w:tcPr>
          <w:p>
            <w:pPr>
              <w:spacing w:line="480" w:lineRule="exact"/>
              <w:jc w:val="center"/>
              <w:rPr>
                <w:sz w:val="28"/>
                <w:szCs w:val="28"/>
              </w:rPr>
            </w:pPr>
            <w:r>
              <w:rPr>
                <w:sz w:val="28"/>
                <w:szCs w:val="28"/>
              </w:rPr>
              <w:t>1</w:t>
            </w:r>
          </w:p>
        </w:tc>
        <w:tc>
          <w:tcPr>
            <w:tcW w:w="1440" w:type="dxa"/>
            <w:vAlign w:val="center"/>
          </w:tcPr>
          <w:p>
            <w:pPr>
              <w:spacing w:line="360" w:lineRule="exact"/>
              <w:jc w:val="center"/>
              <w:rPr>
                <w:sz w:val="28"/>
                <w:szCs w:val="28"/>
              </w:rPr>
            </w:pPr>
            <w:r>
              <w:rPr>
                <w:sz w:val="28"/>
                <w:szCs w:val="28"/>
              </w:rPr>
              <w:t>安全发展示范城市创建工程</w:t>
            </w:r>
          </w:p>
        </w:tc>
        <w:tc>
          <w:tcPr>
            <w:tcW w:w="8257" w:type="dxa"/>
            <w:vAlign w:val="center"/>
          </w:tcPr>
          <w:p>
            <w:pPr>
              <w:spacing w:line="340" w:lineRule="exact"/>
              <w:rPr>
                <w:sz w:val="28"/>
                <w:szCs w:val="28"/>
              </w:rPr>
            </w:pPr>
            <w:r>
              <w:rPr>
                <w:sz w:val="28"/>
                <w:szCs w:val="28"/>
              </w:rPr>
              <w:t>开展城市安全风险普查评估，建立安全风险台账。统筹规划城区水、电、气、热、通讯、消防设施和信息网络等基础设施，建立供水、供电、供气、通信等地下管网信息共享机制。开展高层建筑物、体育场馆、集贸市场、学校、医院、车站、会展场馆以及涵洞、桥梁等大型建筑（设施）隐患排查治理，科学设置安全防护和应急避险设施。做好城市建设、危旧房屋、玻璃幕墙、渣土堆场、燃气管线、地下管廊等重点区域安全防范，加强基础建设，提升安全保障能力。稳步推进危险化学品和化工企业生产、仓储安全搬迁工程，进一步推动集中发展，绘制危险化学品重大危险源地理信息图，加强重大安全风险管控。分期分批实施</w:t>
            </w:r>
          </w:p>
        </w:tc>
        <w:tc>
          <w:tcPr>
            <w:tcW w:w="1559" w:type="dxa"/>
            <w:vAlign w:val="center"/>
          </w:tcPr>
          <w:p>
            <w:pPr>
              <w:spacing w:line="340" w:lineRule="exact"/>
              <w:jc w:val="center"/>
              <w:rPr>
                <w:sz w:val="28"/>
                <w:szCs w:val="28"/>
              </w:rPr>
            </w:pPr>
            <w:r>
              <w:rPr>
                <w:sz w:val="28"/>
                <w:szCs w:val="28"/>
              </w:rPr>
              <w:t>2.7亿元</w:t>
            </w:r>
          </w:p>
        </w:tc>
        <w:tc>
          <w:tcPr>
            <w:tcW w:w="1992" w:type="dxa"/>
            <w:vAlign w:val="center"/>
          </w:tcPr>
          <w:p>
            <w:pPr>
              <w:spacing w:line="340" w:lineRule="exact"/>
              <w:rPr>
                <w:sz w:val="28"/>
                <w:szCs w:val="28"/>
              </w:rPr>
            </w:pPr>
            <w:r>
              <w:rPr>
                <w:sz w:val="28"/>
                <w:szCs w:val="28"/>
              </w:rPr>
              <w:t>市、县、乡、部门企业共同投资，市级财政列支5000万元，其余由县、乡和企业负责。</w:t>
            </w:r>
          </w:p>
        </w:tc>
        <w:tc>
          <w:tcPr>
            <w:tcW w:w="1554" w:type="dxa"/>
            <w:vAlign w:val="center"/>
          </w:tcPr>
          <w:p>
            <w:pPr>
              <w:spacing w:line="400" w:lineRule="exact"/>
              <w:jc w:val="center"/>
              <w:rPr>
                <w:rFonts w:hint="eastAsia"/>
                <w:sz w:val="28"/>
                <w:szCs w:val="28"/>
              </w:rPr>
            </w:pPr>
            <w:r>
              <w:rPr>
                <w:sz w:val="28"/>
                <w:szCs w:val="28"/>
              </w:rPr>
              <w:t>2017年</w:t>
            </w:r>
          </w:p>
          <w:p>
            <w:pPr>
              <w:spacing w:line="400" w:lineRule="exact"/>
              <w:jc w:val="center"/>
              <w:rPr>
                <w:sz w:val="28"/>
                <w:szCs w:val="28"/>
              </w:rPr>
            </w:pPr>
            <w:r>
              <w:rPr>
                <w:sz w:val="28"/>
                <w:szCs w:val="28"/>
              </w:rPr>
              <w:t>—2020年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2" w:hRule="atLeast"/>
        </w:trPr>
        <w:tc>
          <w:tcPr>
            <w:tcW w:w="794" w:type="dxa"/>
            <w:vAlign w:val="center"/>
          </w:tcPr>
          <w:p>
            <w:pPr>
              <w:spacing w:line="480" w:lineRule="exact"/>
              <w:jc w:val="center"/>
              <w:rPr>
                <w:sz w:val="28"/>
                <w:szCs w:val="28"/>
              </w:rPr>
            </w:pPr>
            <w:r>
              <w:rPr>
                <w:sz w:val="28"/>
                <w:szCs w:val="28"/>
              </w:rPr>
              <w:t>2</w:t>
            </w:r>
          </w:p>
        </w:tc>
        <w:tc>
          <w:tcPr>
            <w:tcW w:w="1440" w:type="dxa"/>
            <w:vAlign w:val="center"/>
          </w:tcPr>
          <w:p>
            <w:pPr>
              <w:spacing w:line="360" w:lineRule="exact"/>
              <w:jc w:val="center"/>
              <w:rPr>
                <w:sz w:val="28"/>
                <w:szCs w:val="28"/>
              </w:rPr>
            </w:pPr>
            <w:r>
              <w:rPr>
                <w:sz w:val="28"/>
                <w:szCs w:val="28"/>
              </w:rPr>
              <w:t>安全生产应急救援基地建设工程</w:t>
            </w:r>
          </w:p>
        </w:tc>
        <w:tc>
          <w:tcPr>
            <w:tcW w:w="8257" w:type="dxa"/>
            <w:vAlign w:val="center"/>
          </w:tcPr>
          <w:p>
            <w:pPr>
              <w:spacing w:line="340" w:lineRule="exact"/>
              <w:rPr>
                <w:sz w:val="28"/>
                <w:szCs w:val="28"/>
              </w:rPr>
            </w:pPr>
            <w:r>
              <w:rPr>
                <w:sz w:val="28"/>
                <w:szCs w:val="28"/>
              </w:rPr>
              <w:t>应急救援基地由场地、房屋建设、装备配备等内容构成，主要包括办公楼、应急监测监控中心、培训楼、培训宿舍楼、综合训练馆、物质储备库等业务用房和有关辅助用房建设，配备具有先进性与适用性的应急救援装备与设施，建立安全生产应急指挥信息平台。承担我市危险化学品、非煤矿山等行业的应急救援任务，同时承担全市范围内应急救援队伍及人员的业务培训和实训演练任务。</w:t>
            </w:r>
          </w:p>
        </w:tc>
        <w:tc>
          <w:tcPr>
            <w:tcW w:w="1559" w:type="dxa"/>
            <w:vAlign w:val="center"/>
          </w:tcPr>
          <w:p>
            <w:pPr>
              <w:spacing w:line="340" w:lineRule="exact"/>
              <w:jc w:val="center"/>
              <w:rPr>
                <w:sz w:val="28"/>
                <w:szCs w:val="28"/>
              </w:rPr>
            </w:pPr>
            <w:r>
              <w:rPr>
                <w:sz w:val="28"/>
                <w:szCs w:val="28"/>
              </w:rPr>
              <w:t>1.5亿元</w:t>
            </w:r>
          </w:p>
        </w:tc>
        <w:tc>
          <w:tcPr>
            <w:tcW w:w="1992" w:type="dxa"/>
            <w:vAlign w:val="center"/>
          </w:tcPr>
          <w:p>
            <w:pPr>
              <w:spacing w:line="340" w:lineRule="exact"/>
              <w:rPr>
                <w:spacing w:val="-8"/>
                <w:sz w:val="28"/>
                <w:szCs w:val="28"/>
              </w:rPr>
            </w:pPr>
            <w:r>
              <w:rPr>
                <w:spacing w:val="-8"/>
                <w:sz w:val="28"/>
                <w:szCs w:val="28"/>
              </w:rPr>
              <w:t>争取国家、省财政支持5000万元，其余由市财政及相关部门多渠道筹资。</w:t>
            </w:r>
          </w:p>
        </w:tc>
        <w:tc>
          <w:tcPr>
            <w:tcW w:w="1554" w:type="dxa"/>
            <w:vAlign w:val="center"/>
          </w:tcPr>
          <w:p>
            <w:pPr>
              <w:spacing w:line="400" w:lineRule="exact"/>
              <w:jc w:val="center"/>
              <w:rPr>
                <w:rFonts w:hint="eastAsia"/>
                <w:sz w:val="28"/>
                <w:szCs w:val="28"/>
              </w:rPr>
            </w:pPr>
            <w:r>
              <w:rPr>
                <w:sz w:val="28"/>
                <w:szCs w:val="28"/>
              </w:rPr>
              <w:t>2016年</w:t>
            </w:r>
          </w:p>
          <w:p>
            <w:pPr>
              <w:spacing w:line="400" w:lineRule="exact"/>
              <w:ind w:right="-202"/>
              <w:jc w:val="center"/>
              <w:rPr>
                <w:sz w:val="28"/>
                <w:szCs w:val="28"/>
              </w:rPr>
            </w:pPr>
            <w:r>
              <w:rPr>
                <w:sz w:val="28"/>
                <w:szCs w:val="28"/>
              </w:rPr>
              <w:t>—2020年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9" w:hRule="atLeast"/>
        </w:trPr>
        <w:tc>
          <w:tcPr>
            <w:tcW w:w="794" w:type="dxa"/>
            <w:vAlign w:val="center"/>
          </w:tcPr>
          <w:p>
            <w:pPr>
              <w:spacing w:line="480" w:lineRule="exact"/>
              <w:jc w:val="center"/>
              <w:rPr>
                <w:sz w:val="28"/>
                <w:szCs w:val="28"/>
              </w:rPr>
            </w:pPr>
            <w:r>
              <w:rPr>
                <w:sz w:val="28"/>
                <w:szCs w:val="28"/>
              </w:rPr>
              <w:t>3</w:t>
            </w:r>
          </w:p>
        </w:tc>
        <w:tc>
          <w:tcPr>
            <w:tcW w:w="1440" w:type="dxa"/>
            <w:vAlign w:val="center"/>
          </w:tcPr>
          <w:p>
            <w:pPr>
              <w:spacing w:line="360" w:lineRule="exact"/>
              <w:jc w:val="center"/>
              <w:rPr>
                <w:sz w:val="28"/>
                <w:szCs w:val="28"/>
              </w:rPr>
            </w:pPr>
            <w:r>
              <w:rPr>
                <w:sz w:val="28"/>
                <w:szCs w:val="28"/>
              </w:rPr>
              <w:t>安全生产监管职业能力建设工程</w:t>
            </w:r>
          </w:p>
        </w:tc>
        <w:tc>
          <w:tcPr>
            <w:tcW w:w="8257" w:type="dxa"/>
            <w:vAlign w:val="center"/>
          </w:tcPr>
          <w:p>
            <w:pPr>
              <w:spacing w:line="360" w:lineRule="exact"/>
              <w:rPr>
                <w:sz w:val="28"/>
                <w:szCs w:val="28"/>
              </w:rPr>
            </w:pPr>
            <w:r>
              <w:rPr>
                <w:sz w:val="28"/>
                <w:szCs w:val="28"/>
              </w:rPr>
              <w:t>按国家《安全监管监察职业能力建设标准》要求，完善市、县、乡三级安全监管部门基础设施，逐年配置市、县（市、区）、经开区安监局及乡（镇、街道、工业园区）安监站安全监管执法装备，改造完善现有基础设施和工作条件，到“十三五”末期达到国家标准要求。争取中央、省专项财政资金支持，市级财政主要用于市安监局的装备配备及补助财政困难的县、乡，分期分批实施。</w:t>
            </w:r>
          </w:p>
        </w:tc>
        <w:tc>
          <w:tcPr>
            <w:tcW w:w="1559" w:type="dxa"/>
            <w:vAlign w:val="center"/>
          </w:tcPr>
          <w:p>
            <w:pPr>
              <w:spacing w:line="400" w:lineRule="exact"/>
              <w:jc w:val="center"/>
              <w:rPr>
                <w:sz w:val="28"/>
                <w:szCs w:val="28"/>
              </w:rPr>
            </w:pPr>
            <w:r>
              <w:rPr>
                <w:sz w:val="28"/>
                <w:szCs w:val="28"/>
              </w:rPr>
              <w:t>6500万</w:t>
            </w:r>
          </w:p>
        </w:tc>
        <w:tc>
          <w:tcPr>
            <w:tcW w:w="1992" w:type="dxa"/>
            <w:vAlign w:val="center"/>
          </w:tcPr>
          <w:p>
            <w:pPr>
              <w:spacing w:line="360" w:lineRule="exact"/>
              <w:rPr>
                <w:sz w:val="28"/>
                <w:szCs w:val="28"/>
              </w:rPr>
            </w:pPr>
            <w:r>
              <w:rPr>
                <w:sz w:val="28"/>
                <w:szCs w:val="28"/>
              </w:rPr>
              <w:t>争取中央、省专项资金1500万元，市级财政列支1200万元，其余县、乡财政列支。</w:t>
            </w:r>
          </w:p>
        </w:tc>
        <w:tc>
          <w:tcPr>
            <w:tcW w:w="1554" w:type="dxa"/>
            <w:vAlign w:val="center"/>
          </w:tcPr>
          <w:p>
            <w:pPr>
              <w:spacing w:line="400" w:lineRule="exact"/>
              <w:ind w:right="-202"/>
              <w:jc w:val="center"/>
              <w:rPr>
                <w:rFonts w:hint="eastAsia"/>
                <w:sz w:val="28"/>
                <w:szCs w:val="28"/>
              </w:rPr>
            </w:pPr>
            <w:r>
              <w:rPr>
                <w:sz w:val="28"/>
                <w:szCs w:val="28"/>
              </w:rPr>
              <w:t>2016年</w:t>
            </w:r>
          </w:p>
          <w:p>
            <w:pPr>
              <w:spacing w:line="400" w:lineRule="exact"/>
              <w:ind w:right="-202"/>
              <w:jc w:val="center"/>
              <w:rPr>
                <w:sz w:val="28"/>
                <w:szCs w:val="28"/>
              </w:rPr>
            </w:pPr>
            <w:r>
              <w:rPr>
                <w:sz w:val="28"/>
                <w:szCs w:val="28"/>
              </w:rPr>
              <w:t>—2020年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794" w:type="dxa"/>
            <w:vAlign w:val="center"/>
          </w:tcPr>
          <w:p>
            <w:pPr>
              <w:spacing w:line="480" w:lineRule="exact"/>
              <w:jc w:val="center"/>
              <w:rPr>
                <w:sz w:val="28"/>
                <w:szCs w:val="28"/>
              </w:rPr>
            </w:pPr>
            <w:r>
              <w:rPr>
                <w:sz w:val="28"/>
                <w:szCs w:val="28"/>
              </w:rPr>
              <w:t>4</w:t>
            </w:r>
          </w:p>
        </w:tc>
        <w:tc>
          <w:tcPr>
            <w:tcW w:w="1440" w:type="dxa"/>
            <w:vAlign w:val="center"/>
          </w:tcPr>
          <w:p>
            <w:pPr>
              <w:spacing w:line="400" w:lineRule="exact"/>
              <w:jc w:val="center"/>
              <w:rPr>
                <w:sz w:val="28"/>
                <w:szCs w:val="28"/>
              </w:rPr>
            </w:pPr>
            <w:r>
              <w:rPr>
                <w:sz w:val="28"/>
                <w:szCs w:val="28"/>
              </w:rPr>
              <w:t>安全生产综合监管平台建设工程</w:t>
            </w:r>
          </w:p>
        </w:tc>
        <w:tc>
          <w:tcPr>
            <w:tcW w:w="8257" w:type="dxa"/>
            <w:vAlign w:val="center"/>
          </w:tcPr>
          <w:p>
            <w:pPr>
              <w:spacing w:line="400" w:lineRule="exact"/>
              <w:rPr>
                <w:sz w:val="28"/>
                <w:szCs w:val="28"/>
              </w:rPr>
            </w:pPr>
            <w:r>
              <w:rPr>
                <w:sz w:val="28"/>
                <w:szCs w:val="28"/>
              </w:rPr>
              <w:t>建设完成由10个县（市、区、经开区）及市安委会各成员单位节点的安全生产信息网；建设完善1个市级、10个县（市、区、经开区）安全生产监管部门局域网和政府网站；实现市内重大危险源</w:t>
            </w:r>
            <w:r>
              <w:rPr>
                <w:spacing w:val="-8"/>
                <w:sz w:val="28"/>
                <w:szCs w:val="28"/>
              </w:rPr>
              <w:t>和重大事故隐患动态监控系统和重特大事故应急救援与指挥调度系统有机融合。建设工程包括安全生产综合监管应用平台及应急救援指挥、重大危险源实时监控、事故隐患排查治理、职业危害监测</w:t>
            </w:r>
            <w:r>
              <w:rPr>
                <w:sz w:val="28"/>
                <w:szCs w:val="28"/>
              </w:rPr>
              <w:t>、企业安全生产信用评估、行政执法监察、行政许可报批、安全生产</w:t>
            </w:r>
            <w:r>
              <w:rPr>
                <w:spacing w:val="-8"/>
                <w:sz w:val="28"/>
                <w:szCs w:val="28"/>
              </w:rPr>
              <w:t>培训考核、事故快报统计分析、安全生产专家管理、办公自动化等系统。</w:t>
            </w:r>
          </w:p>
        </w:tc>
        <w:tc>
          <w:tcPr>
            <w:tcW w:w="1559" w:type="dxa"/>
            <w:vAlign w:val="center"/>
          </w:tcPr>
          <w:p>
            <w:pPr>
              <w:spacing w:line="400" w:lineRule="exact"/>
              <w:jc w:val="center"/>
              <w:rPr>
                <w:sz w:val="28"/>
                <w:szCs w:val="28"/>
              </w:rPr>
            </w:pPr>
            <w:r>
              <w:rPr>
                <w:sz w:val="28"/>
                <w:szCs w:val="28"/>
              </w:rPr>
              <w:t>3500万</w:t>
            </w:r>
          </w:p>
        </w:tc>
        <w:tc>
          <w:tcPr>
            <w:tcW w:w="1992" w:type="dxa"/>
            <w:vAlign w:val="center"/>
          </w:tcPr>
          <w:p>
            <w:pPr>
              <w:spacing w:line="360" w:lineRule="exact"/>
              <w:rPr>
                <w:sz w:val="28"/>
                <w:szCs w:val="28"/>
              </w:rPr>
            </w:pPr>
            <w:r>
              <w:rPr>
                <w:sz w:val="28"/>
                <w:szCs w:val="28"/>
              </w:rPr>
              <w:t>争取纳入国家安全生产信息系统“金安”三期工程项目，市、县企业落实配套资金，分期分批实施。</w:t>
            </w:r>
          </w:p>
        </w:tc>
        <w:tc>
          <w:tcPr>
            <w:tcW w:w="1554" w:type="dxa"/>
            <w:vAlign w:val="center"/>
          </w:tcPr>
          <w:p>
            <w:pPr>
              <w:spacing w:line="400" w:lineRule="exact"/>
              <w:jc w:val="center"/>
              <w:rPr>
                <w:rFonts w:hint="eastAsia"/>
                <w:sz w:val="28"/>
                <w:szCs w:val="28"/>
              </w:rPr>
            </w:pPr>
            <w:r>
              <w:rPr>
                <w:sz w:val="28"/>
                <w:szCs w:val="28"/>
              </w:rPr>
              <w:t>2016年</w:t>
            </w:r>
          </w:p>
          <w:p>
            <w:pPr>
              <w:spacing w:line="400" w:lineRule="exact"/>
              <w:ind w:right="-58"/>
              <w:jc w:val="center"/>
              <w:rPr>
                <w:sz w:val="28"/>
                <w:szCs w:val="28"/>
              </w:rPr>
            </w:pPr>
            <w:r>
              <w:rPr>
                <w:sz w:val="28"/>
                <w:szCs w:val="28"/>
              </w:rPr>
              <w:t>—2020年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794" w:type="dxa"/>
            <w:vAlign w:val="center"/>
          </w:tcPr>
          <w:p>
            <w:pPr>
              <w:spacing w:line="480" w:lineRule="exact"/>
              <w:jc w:val="center"/>
              <w:rPr>
                <w:sz w:val="28"/>
                <w:szCs w:val="28"/>
              </w:rPr>
            </w:pPr>
            <w:r>
              <w:rPr>
                <w:sz w:val="28"/>
                <w:szCs w:val="28"/>
              </w:rPr>
              <w:t>5</w:t>
            </w:r>
          </w:p>
        </w:tc>
        <w:tc>
          <w:tcPr>
            <w:tcW w:w="1440" w:type="dxa"/>
            <w:vAlign w:val="center"/>
          </w:tcPr>
          <w:p>
            <w:pPr>
              <w:spacing w:line="400" w:lineRule="exact"/>
              <w:jc w:val="center"/>
              <w:rPr>
                <w:sz w:val="28"/>
                <w:szCs w:val="28"/>
              </w:rPr>
            </w:pPr>
            <w:r>
              <w:rPr>
                <w:sz w:val="28"/>
                <w:szCs w:val="28"/>
              </w:rPr>
              <w:t>煤矿提升改造和转型升级工程</w:t>
            </w:r>
          </w:p>
        </w:tc>
        <w:tc>
          <w:tcPr>
            <w:tcW w:w="8257" w:type="dxa"/>
            <w:vAlign w:val="center"/>
          </w:tcPr>
          <w:p>
            <w:pPr>
              <w:spacing w:line="360" w:lineRule="exact"/>
              <w:rPr>
                <w:sz w:val="28"/>
                <w:szCs w:val="28"/>
              </w:rPr>
            </w:pPr>
            <w:r>
              <w:rPr>
                <w:sz w:val="28"/>
                <w:szCs w:val="28"/>
              </w:rPr>
              <w:t>全力推进煤炭资源整合、煤矿企业兼并重组和改造升级，以瓦斯治理、水害防治、防灭火、顶板管理、提升运输等为重点，开展煤矿重大灾害防治工作；以建设安全标准化、管理规范化、采掘机械化、监控网络信息化为目标，积极推进煤矿机械化、自动化改造，建设煤矿安全生产信息化平台，实现市、县、乡三级对煤矿安全生产信息化监控与管理。建设一批瓦斯综合治理和水害、顶板、粉尘、火灾防治示范工程，全面完成国家、省下达的煤矿关闭整合任务及转型升级目标。到2020年，煤矿采煤机械化程度提高到100％。</w:t>
            </w:r>
          </w:p>
        </w:tc>
        <w:tc>
          <w:tcPr>
            <w:tcW w:w="1559" w:type="dxa"/>
            <w:vAlign w:val="center"/>
          </w:tcPr>
          <w:p>
            <w:pPr>
              <w:spacing w:line="400" w:lineRule="exact"/>
              <w:jc w:val="center"/>
              <w:rPr>
                <w:sz w:val="28"/>
                <w:szCs w:val="28"/>
              </w:rPr>
            </w:pPr>
            <w:r>
              <w:rPr>
                <w:sz w:val="28"/>
                <w:szCs w:val="28"/>
              </w:rPr>
              <w:t>2.5亿</w:t>
            </w:r>
          </w:p>
        </w:tc>
        <w:tc>
          <w:tcPr>
            <w:tcW w:w="1992" w:type="dxa"/>
            <w:vAlign w:val="center"/>
          </w:tcPr>
          <w:p>
            <w:pPr>
              <w:spacing w:line="360" w:lineRule="exact"/>
              <w:rPr>
                <w:sz w:val="28"/>
                <w:szCs w:val="28"/>
              </w:rPr>
            </w:pPr>
            <w:r>
              <w:rPr>
                <w:sz w:val="28"/>
                <w:szCs w:val="28"/>
              </w:rPr>
              <w:t>主要由矿山企业投入，争取中央、省专项资金支持，市、县级政府给予一定补助。</w:t>
            </w:r>
          </w:p>
        </w:tc>
        <w:tc>
          <w:tcPr>
            <w:tcW w:w="1554" w:type="dxa"/>
            <w:vAlign w:val="center"/>
          </w:tcPr>
          <w:p>
            <w:pPr>
              <w:spacing w:line="400" w:lineRule="exact"/>
              <w:jc w:val="center"/>
              <w:rPr>
                <w:sz w:val="28"/>
                <w:szCs w:val="28"/>
              </w:rPr>
            </w:pPr>
            <w:r>
              <w:rPr>
                <w:sz w:val="28"/>
                <w:szCs w:val="28"/>
              </w:rPr>
              <w:t>2016年—2020年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trPr>
        <w:tc>
          <w:tcPr>
            <w:tcW w:w="794" w:type="dxa"/>
            <w:vAlign w:val="center"/>
          </w:tcPr>
          <w:p>
            <w:pPr>
              <w:spacing w:line="480" w:lineRule="exact"/>
              <w:jc w:val="center"/>
              <w:rPr>
                <w:sz w:val="28"/>
                <w:szCs w:val="28"/>
              </w:rPr>
            </w:pPr>
            <w:r>
              <w:rPr>
                <w:sz w:val="28"/>
                <w:szCs w:val="28"/>
              </w:rPr>
              <w:t>6</w:t>
            </w:r>
          </w:p>
        </w:tc>
        <w:tc>
          <w:tcPr>
            <w:tcW w:w="1440" w:type="dxa"/>
            <w:vAlign w:val="center"/>
          </w:tcPr>
          <w:p>
            <w:pPr>
              <w:spacing w:line="480" w:lineRule="exact"/>
              <w:jc w:val="center"/>
              <w:rPr>
                <w:sz w:val="28"/>
                <w:szCs w:val="28"/>
              </w:rPr>
            </w:pPr>
            <w:r>
              <w:rPr>
                <w:sz w:val="28"/>
                <w:szCs w:val="28"/>
              </w:rPr>
              <w:t>非煤矿山提升改造和转型升级工程</w:t>
            </w:r>
          </w:p>
        </w:tc>
        <w:tc>
          <w:tcPr>
            <w:tcW w:w="8257" w:type="dxa"/>
            <w:vAlign w:val="center"/>
          </w:tcPr>
          <w:p>
            <w:pPr>
              <w:spacing w:line="360" w:lineRule="exact"/>
              <w:rPr>
                <w:sz w:val="28"/>
                <w:szCs w:val="28"/>
              </w:rPr>
            </w:pPr>
            <w:r>
              <w:rPr>
                <w:sz w:val="28"/>
                <w:szCs w:val="28"/>
              </w:rPr>
              <w:t>坚持市场主导与政府调控并举，实施非煤矿山“四个一批”改造升级，开展非煤矿山尾矿库、大型采空区等事故隐患综合治理；在露天矿山推广覆土植被和排土（废）场边坡绿化。建设完善地下矿山监测监控系统、井下人员定位系统、紧急避险系统、压风自救系统、供水施救系统和通信联络系统等技术装备。建设完善全市非煤矿山安全监管平台，实现对非煤矿山全方位立体监管，全面提高非煤矿山安全保障水平。</w:t>
            </w:r>
          </w:p>
        </w:tc>
        <w:tc>
          <w:tcPr>
            <w:tcW w:w="1559" w:type="dxa"/>
            <w:vAlign w:val="center"/>
          </w:tcPr>
          <w:p>
            <w:pPr>
              <w:spacing w:line="480" w:lineRule="exact"/>
              <w:jc w:val="center"/>
              <w:rPr>
                <w:sz w:val="28"/>
                <w:szCs w:val="28"/>
              </w:rPr>
            </w:pPr>
            <w:r>
              <w:rPr>
                <w:sz w:val="28"/>
                <w:szCs w:val="28"/>
              </w:rPr>
              <w:t>7500万元</w:t>
            </w:r>
          </w:p>
        </w:tc>
        <w:tc>
          <w:tcPr>
            <w:tcW w:w="1992" w:type="dxa"/>
            <w:vAlign w:val="center"/>
          </w:tcPr>
          <w:p>
            <w:pPr>
              <w:spacing w:line="360" w:lineRule="exact"/>
              <w:rPr>
                <w:sz w:val="28"/>
                <w:szCs w:val="28"/>
              </w:rPr>
            </w:pPr>
            <w:r>
              <w:rPr>
                <w:sz w:val="28"/>
                <w:szCs w:val="28"/>
              </w:rPr>
              <w:t>主要由矿山企业投入，市、县级政府给予一定补助。</w:t>
            </w:r>
          </w:p>
        </w:tc>
        <w:tc>
          <w:tcPr>
            <w:tcW w:w="1554" w:type="dxa"/>
            <w:vAlign w:val="center"/>
          </w:tcPr>
          <w:p>
            <w:pPr>
              <w:spacing w:line="400" w:lineRule="exact"/>
              <w:jc w:val="center"/>
              <w:rPr>
                <w:rFonts w:hint="eastAsia"/>
                <w:sz w:val="28"/>
                <w:szCs w:val="28"/>
              </w:rPr>
            </w:pPr>
            <w:r>
              <w:rPr>
                <w:sz w:val="28"/>
                <w:szCs w:val="28"/>
              </w:rPr>
              <w:t>2016年</w:t>
            </w:r>
          </w:p>
          <w:p>
            <w:pPr>
              <w:spacing w:line="400" w:lineRule="exact"/>
              <w:jc w:val="center"/>
              <w:rPr>
                <w:sz w:val="28"/>
                <w:szCs w:val="28"/>
              </w:rPr>
            </w:pPr>
            <w:r>
              <w:rPr>
                <w:sz w:val="28"/>
                <w:szCs w:val="28"/>
              </w:rPr>
              <w:t>—2018年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4" w:hRule="atLeast"/>
        </w:trPr>
        <w:tc>
          <w:tcPr>
            <w:tcW w:w="794" w:type="dxa"/>
            <w:vAlign w:val="center"/>
          </w:tcPr>
          <w:p>
            <w:pPr>
              <w:spacing w:line="480" w:lineRule="exact"/>
              <w:jc w:val="center"/>
              <w:rPr>
                <w:sz w:val="28"/>
                <w:szCs w:val="28"/>
              </w:rPr>
            </w:pPr>
            <w:r>
              <w:rPr>
                <w:sz w:val="28"/>
                <w:szCs w:val="28"/>
              </w:rPr>
              <w:t>7</w:t>
            </w:r>
          </w:p>
        </w:tc>
        <w:tc>
          <w:tcPr>
            <w:tcW w:w="1440" w:type="dxa"/>
            <w:vAlign w:val="center"/>
          </w:tcPr>
          <w:p>
            <w:pPr>
              <w:spacing w:line="480" w:lineRule="exact"/>
              <w:jc w:val="center"/>
              <w:rPr>
                <w:sz w:val="28"/>
                <w:szCs w:val="28"/>
              </w:rPr>
            </w:pPr>
            <w:r>
              <w:rPr>
                <w:sz w:val="28"/>
                <w:szCs w:val="28"/>
              </w:rPr>
              <w:t>危险化学品安全治理工程</w:t>
            </w:r>
          </w:p>
        </w:tc>
        <w:tc>
          <w:tcPr>
            <w:tcW w:w="8257" w:type="dxa"/>
            <w:vAlign w:val="center"/>
          </w:tcPr>
          <w:p>
            <w:pPr>
              <w:spacing w:line="380" w:lineRule="exact"/>
              <w:rPr>
                <w:sz w:val="28"/>
                <w:szCs w:val="28"/>
              </w:rPr>
            </w:pPr>
            <w:r>
              <w:rPr>
                <w:sz w:val="28"/>
                <w:szCs w:val="28"/>
              </w:rPr>
              <w:t>强化危险化学品安全源头治理，开展危化品生产、储存、运输企业情况普查和安全评估，实施危险化学品分类分级管理，建立危险化学品监控系统和危化品信息数据库，强化各环节安全管控。开展重大危险源摸底排查、辨识和评估，全面掌握辖区内重大危险源情况，绘制市、县三级以及企业的危险化学品重大危险源分布电子图，建立完善重大危险源安全风险数据库，实施动态监控预警。实施危险化学品和化工企业生产、储存安全环保搬迁工程。</w:t>
            </w:r>
          </w:p>
        </w:tc>
        <w:tc>
          <w:tcPr>
            <w:tcW w:w="1559" w:type="dxa"/>
            <w:vAlign w:val="center"/>
          </w:tcPr>
          <w:p>
            <w:pPr>
              <w:spacing w:line="480" w:lineRule="exact"/>
              <w:jc w:val="center"/>
              <w:rPr>
                <w:sz w:val="28"/>
                <w:szCs w:val="28"/>
              </w:rPr>
            </w:pPr>
            <w:r>
              <w:rPr>
                <w:sz w:val="28"/>
                <w:szCs w:val="28"/>
              </w:rPr>
              <w:t>9500万</w:t>
            </w:r>
          </w:p>
        </w:tc>
        <w:tc>
          <w:tcPr>
            <w:tcW w:w="1992" w:type="dxa"/>
            <w:vAlign w:val="center"/>
          </w:tcPr>
          <w:p>
            <w:pPr>
              <w:spacing w:line="360" w:lineRule="exact"/>
              <w:rPr>
                <w:sz w:val="28"/>
                <w:szCs w:val="28"/>
              </w:rPr>
            </w:pPr>
            <w:r>
              <w:rPr>
                <w:sz w:val="28"/>
                <w:szCs w:val="28"/>
              </w:rPr>
              <w:t>主要由企业投入，争取中央、省专项资金支持，市、县级给予一定补助。</w:t>
            </w:r>
          </w:p>
        </w:tc>
        <w:tc>
          <w:tcPr>
            <w:tcW w:w="1554" w:type="dxa"/>
            <w:vAlign w:val="center"/>
          </w:tcPr>
          <w:p>
            <w:pPr>
              <w:spacing w:line="400" w:lineRule="exact"/>
              <w:jc w:val="center"/>
              <w:rPr>
                <w:rFonts w:hint="eastAsia"/>
                <w:sz w:val="28"/>
                <w:szCs w:val="28"/>
              </w:rPr>
            </w:pPr>
            <w:r>
              <w:rPr>
                <w:sz w:val="28"/>
                <w:szCs w:val="28"/>
              </w:rPr>
              <w:t>2016年</w:t>
            </w:r>
          </w:p>
          <w:p>
            <w:pPr>
              <w:spacing w:line="400" w:lineRule="exact"/>
              <w:jc w:val="center"/>
              <w:rPr>
                <w:sz w:val="28"/>
                <w:szCs w:val="28"/>
              </w:rPr>
            </w:pPr>
            <w:r>
              <w:rPr>
                <w:sz w:val="28"/>
                <w:szCs w:val="28"/>
              </w:rPr>
              <w:t>—2020年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794" w:type="dxa"/>
            <w:vAlign w:val="center"/>
          </w:tcPr>
          <w:p>
            <w:pPr>
              <w:spacing w:line="480" w:lineRule="exact"/>
              <w:jc w:val="center"/>
              <w:rPr>
                <w:sz w:val="28"/>
                <w:szCs w:val="28"/>
              </w:rPr>
            </w:pPr>
            <w:r>
              <w:rPr>
                <w:sz w:val="28"/>
                <w:szCs w:val="28"/>
              </w:rPr>
              <w:t>8</w:t>
            </w:r>
          </w:p>
        </w:tc>
        <w:tc>
          <w:tcPr>
            <w:tcW w:w="1440" w:type="dxa"/>
            <w:vAlign w:val="center"/>
          </w:tcPr>
          <w:p>
            <w:pPr>
              <w:spacing w:line="480" w:lineRule="exact"/>
              <w:jc w:val="center"/>
              <w:rPr>
                <w:sz w:val="28"/>
                <w:szCs w:val="28"/>
              </w:rPr>
            </w:pPr>
            <w:r>
              <w:rPr>
                <w:sz w:val="28"/>
                <w:szCs w:val="28"/>
              </w:rPr>
              <w:t>职业病危害治理工程</w:t>
            </w:r>
          </w:p>
        </w:tc>
        <w:tc>
          <w:tcPr>
            <w:tcW w:w="8257" w:type="dxa"/>
            <w:vAlign w:val="center"/>
          </w:tcPr>
          <w:p>
            <w:pPr>
              <w:spacing w:line="380" w:lineRule="exact"/>
              <w:rPr>
                <w:sz w:val="28"/>
                <w:szCs w:val="28"/>
              </w:rPr>
            </w:pPr>
            <w:r>
              <w:rPr>
                <w:sz w:val="28"/>
                <w:szCs w:val="28"/>
              </w:rPr>
              <w:t>全面普查全市职业病危害状况，建立企业职业健康监护信息化档案、从业人员职业健康信息数据库、从业人员职业病动态监管平台和职业健康监护信息系统。开展化工、冶金、建筑、矿山、建材等职业危害较严重的行业职业危害因素检测、评价与控制。开展粉尘危害综合治理和中毒隐患防范治理，推行职业健康示范企业创建。到2020年，全市建立起健全完善的职业卫生监管体系，力争在全省率先实现国家“十三五”职业病危害防治规划明确的主要工作指标。</w:t>
            </w:r>
          </w:p>
        </w:tc>
        <w:tc>
          <w:tcPr>
            <w:tcW w:w="1559" w:type="dxa"/>
            <w:vAlign w:val="center"/>
          </w:tcPr>
          <w:p>
            <w:pPr>
              <w:spacing w:line="480" w:lineRule="exact"/>
              <w:jc w:val="center"/>
              <w:rPr>
                <w:sz w:val="28"/>
                <w:szCs w:val="28"/>
              </w:rPr>
            </w:pPr>
            <w:r>
              <w:rPr>
                <w:sz w:val="28"/>
                <w:szCs w:val="28"/>
              </w:rPr>
              <w:t>4500万</w:t>
            </w:r>
          </w:p>
        </w:tc>
        <w:tc>
          <w:tcPr>
            <w:tcW w:w="1992" w:type="dxa"/>
            <w:vAlign w:val="center"/>
          </w:tcPr>
          <w:p>
            <w:pPr>
              <w:spacing w:line="360" w:lineRule="exact"/>
              <w:rPr>
                <w:sz w:val="28"/>
                <w:szCs w:val="28"/>
              </w:rPr>
            </w:pPr>
            <w:r>
              <w:rPr>
                <w:sz w:val="28"/>
                <w:szCs w:val="28"/>
              </w:rPr>
              <w:t>主要由企业投入，市、县级政府给予一定补助。</w:t>
            </w:r>
          </w:p>
        </w:tc>
        <w:tc>
          <w:tcPr>
            <w:tcW w:w="1554" w:type="dxa"/>
            <w:vAlign w:val="center"/>
          </w:tcPr>
          <w:p>
            <w:pPr>
              <w:spacing w:line="400" w:lineRule="exact"/>
              <w:jc w:val="center"/>
              <w:rPr>
                <w:rFonts w:hint="eastAsia"/>
                <w:sz w:val="28"/>
                <w:szCs w:val="28"/>
              </w:rPr>
            </w:pPr>
            <w:r>
              <w:rPr>
                <w:sz w:val="28"/>
                <w:szCs w:val="28"/>
              </w:rPr>
              <w:t>2016年</w:t>
            </w:r>
          </w:p>
          <w:p>
            <w:pPr>
              <w:spacing w:line="400" w:lineRule="exact"/>
              <w:jc w:val="center"/>
              <w:rPr>
                <w:sz w:val="28"/>
                <w:szCs w:val="28"/>
              </w:rPr>
            </w:pPr>
            <w:r>
              <w:rPr>
                <w:sz w:val="28"/>
                <w:szCs w:val="28"/>
              </w:rPr>
              <w:t>—2020年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794" w:type="dxa"/>
            <w:vAlign w:val="center"/>
          </w:tcPr>
          <w:p>
            <w:pPr>
              <w:spacing w:line="480" w:lineRule="exact"/>
              <w:jc w:val="center"/>
              <w:rPr>
                <w:sz w:val="28"/>
                <w:szCs w:val="28"/>
              </w:rPr>
            </w:pPr>
            <w:r>
              <w:rPr>
                <w:sz w:val="28"/>
                <w:szCs w:val="28"/>
              </w:rPr>
              <w:t>9</w:t>
            </w:r>
          </w:p>
        </w:tc>
        <w:tc>
          <w:tcPr>
            <w:tcW w:w="1440" w:type="dxa"/>
            <w:vAlign w:val="center"/>
          </w:tcPr>
          <w:p>
            <w:pPr>
              <w:spacing w:line="480" w:lineRule="exact"/>
              <w:jc w:val="center"/>
              <w:rPr>
                <w:sz w:val="28"/>
                <w:szCs w:val="28"/>
              </w:rPr>
            </w:pPr>
            <w:r>
              <w:rPr>
                <w:sz w:val="28"/>
                <w:szCs w:val="28"/>
              </w:rPr>
              <w:t>安全文化建设工程</w:t>
            </w:r>
          </w:p>
        </w:tc>
        <w:tc>
          <w:tcPr>
            <w:tcW w:w="8257" w:type="dxa"/>
            <w:vAlign w:val="center"/>
          </w:tcPr>
          <w:p>
            <w:pPr>
              <w:spacing w:line="380" w:lineRule="exact"/>
              <w:rPr>
                <w:sz w:val="28"/>
                <w:szCs w:val="28"/>
              </w:rPr>
            </w:pPr>
            <w:r>
              <w:rPr>
                <w:sz w:val="28"/>
                <w:szCs w:val="28"/>
              </w:rPr>
              <w:t xml:space="preserve">    全面开展安全生产宣传教育“七进”活动，在县（市、区）、乡镇（街道）、社区（村）和企业开展安全文化创建活动，推进安全社区建设。实施安全文化建设创新工程，加强全民安全意识教育，培育城市安全文化。建设包括企业负责人、安全管理人员、特种作业人员培训实训、安全宣传教育、职业健康教育、警示教育和安全文化建设等内容的市安全生产综合教育培训考试中心，设置计算机考试机房、多媒体现代化教室、事故警示教育展览、安全宣传标语、宣传栏等内容。创建一批省级和市级安全社区、安全文化示范企业。</w:t>
            </w:r>
          </w:p>
        </w:tc>
        <w:tc>
          <w:tcPr>
            <w:tcW w:w="1559" w:type="dxa"/>
            <w:vAlign w:val="center"/>
          </w:tcPr>
          <w:p>
            <w:pPr>
              <w:spacing w:line="480" w:lineRule="exact"/>
              <w:jc w:val="center"/>
              <w:rPr>
                <w:sz w:val="28"/>
                <w:szCs w:val="28"/>
              </w:rPr>
            </w:pPr>
            <w:r>
              <w:rPr>
                <w:sz w:val="28"/>
                <w:szCs w:val="28"/>
              </w:rPr>
              <w:t>4500万</w:t>
            </w:r>
          </w:p>
        </w:tc>
        <w:tc>
          <w:tcPr>
            <w:tcW w:w="1992" w:type="dxa"/>
            <w:vAlign w:val="center"/>
          </w:tcPr>
          <w:p>
            <w:pPr>
              <w:spacing w:line="360" w:lineRule="exact"/>
              <w:rPr>
                <w:sz w:val="28"/>
                <w:szCs w:val="28"/>
              </w:rPr>
            </w:pPr>
            <w:r>
              <w:rPr>
                <w:sz w:val="28"/>
                <w:szCs w:val="28"/>
              </w:rPr>
              <w:t>市、县、乡、企业共同投资，市级财政列支1000万元，其余由县、乡和企业负责。</w:t>
            </w:r>
          </w:p>
        </w:tc>
        <w:tc>
          <w:tcPr>
            <w:tcW w:w="1554" w:type="dxa"/>
            <w:vAlign w:val="center"/>
          </w:tcPr>
          <w:p>
            <w:pPr>
              <w:spacing w:line="400" w:lineRule="exact"/>
              <w:jc w:val="center"/>
              <w:rPr>
                <w:rFonts w:hint="eastAsia"/>
                <w:sz w:val="28"/>
                <w:szCs w:val="28"/>
              </w:rPr>
            </w:pPr>
            <w:r>
              <w:rPr>
                <w:sz w:val="28"/>
                <w:szCs w:val="28"/>
              </w:rPr>
              <w:t>2016年</w:t>
            </w:r>
          </w:p>
          <w:p>
            <w:pPr>
              <w:spacing w:line="400" w:lineRule="exact"/>
              <w:jc w:val="center"/>
              <w:rPr>
                <w:sz w:val="28"/>
                <w:szCs w:val="28"/>
              </w:rPr>
            </w:pPr>
            <w:r>
              <w:rPr>
                <w:sz w:val="28"/>
                <w:szCs w:val="28"/>
              </w:rPr>
              <w:t>—2020年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8" w:hRule="atLeast"/>
        </w:trPr>
        <w:tc>
          <w:tcPr>
            <w:tcW w:w="794" w:type="dxa"/>
            <w:vMerge w:val="restart"/>
            <w:vAlign w:val="center"/>
          </w:tcPr>
          <w:p>
            <w:pPr>
              <w:spacing w:line="480" w:lineRule="exact"/>
              <w:jc w:val="center"/>
              <w:rPr>
                <w:sz w:val="28"/>
                <w:szCs w:val="28"/>
              </w:rPr>
            </w:pPr>
            <w:r>
              <w:rPr>
                <w:sz w:val="28"/>
                <w:szCs w:val="28"/>
              </w:rPr>
              <w:t>10</w:t>
            </w:r>
          </w:p>
        </w:tc>
        <w:tc>
          <w:tcPr>
            <w:tcW w:w="1440" w:type="dxa"/>
            <w:vMerge w:val="restart"/>
            <w:vAlign w:val="center"/>
          </w:tcPr>
          <w:p>
            <w:pPr>
              <w:spacing w:line="480" w:lineRule="exact"/>
              <w:jc w:val="center"/>
              <w:rPr>
                <w:sz w:val="28"/>
                <w:szCs w:val="28"/>
              </w:rPr>
            </w:pPr>
            <w:r>
              <w:rPr>
                <w:sz w:val="28"/>
                <w:szCs w:val="28"/>
              </w:rPr>
              <w:t>公共安全保障工程</w:t>
            </w:r>
          </w:p>
        </w:tc>
        <w:tc>
          <w:tcPr>
            <w:tcW w:w="8257" w:type="dxa"/>
            <w:vAlign w:val="center"/>
          </w:tcPr>
          <w:p>
            <w:pPr>
              <w:spacing w:line="340" w:lineRule="exact"/>
              <w:rPr>
                <w:sz w:val="28"/>
                <w:szCs w:val="28"/>
              </w:rPr>
            </w:pPr>
            <w:r>
              <w:rPr>
                <w:sz w:val="28"/>
                <w:szCs w:val="28"/>
              </w:rPr>
              <w:t>1. 县乡公路安全防护生命工程。全面梳理辖区内县乡公路危险路段和隐患点，以临水、临崖、急弯、陡坡路段为重点，突出客运通车线路、校车通行线路，完善道路标志标线、防撞护栏护墩等安全设施，重点整治公路事故多发路段和道路危险隐患点段。</w:t>
            </w:r>
          </w:p>
        </w:tc>
        <w:tc>
          <w:tcPr>
            <w:tcW w:w="1559" w:type="dxa"/>
            <w:vMerge w:val="restart"/>
            <w:vAlign w:val="center"/>
          </w:tcPr>
          <w:p>
            <w:pPr>
              <w:spacing w:line="480" w:lineRule="exact"/>
              <w:jc w:val="center"/>
              <w:rPr>
                <w:sz w:val="28"/>
                <w:szCs w:val="28"/>
              </w:rPr>
            </w:pPr>
            <w:r>
              <w:rPr>
                <w:sz w:val="28"/>
                <w:szCs w:val="28"/>
              </w:rPr>
              <w:t>约2.5亿</w:t>
            </w:r>
          </w:p>
        </w:tc>
        <w:tc>
          <w:tcPr>
            <w:tcW w:w="1992" w:type="dxa"/>
            <w:vMerge w:val="restart"/>
            <w:vAlign w:val="center"/>
          </w:tcPr>
          <w:p>
            <w:pPr>
              <w:spacing w:line="360" w:lineRule="exact"/>
              <w:rPr>
                <w:sz w:val="28"/>
                <w:szCs w:val="28"/>
              </w:rPr>
            </w:pPr>
            <w:r>
              <w:rPr>
                <w:sz w:val="28"/>
                <w:szCs w:val="28"/>
              </w:rPr>
              <w:t>争取中央、省级配套资金1亿元，公共实施建设及事故隐患整改由各级财政列支，其余由隐患所在单位负责。</w:t>
            </w:r>
          </w:p>
        </w:tc>
        <w:tc>
          <w:tcPr>
            <w:tcW w:w="1554" w:type="dxa"/>
            <w:vMerge w:val="restart"/>
            <w:vAlign w:val="center"/>
          </w:tcPr>
          <w:p>
            <w:pPr>
              <w:spacing w:line="400" w:lineRule="exact"/>
              <w:jc w:val="center"/>
              <w:rPr>
                <w:rFonts w:hint="eastAsia"/>
                <w:sz w:val="28"/>
                <w:szCs w:val="28"/>
              </w:rPr>
            </w:pPr>
            <w:r>
              <w:rPr>
                <w:sz w:val="28"/>
                <w:szCs w:val="28"/>
              </w:rPr>
              <w:t>2016年</w:t>
            </w:r>
          </w:p>
          <w:p>
            <w:pPr>
              <w:spacing w:line="400" w:lineRule="exact"/>
              <w:ind w:right="-58"/>
              <w:jc w:val="center"/>
              <w:rPr>
                <w:sz w:val="28"/>
                <w:szCs w:val="28"/>
              </w:rPr>
            </w:pPr>
            <w:r>
              <w:rPr>
                <w:sz w:val="28"/>
                <w:szCs w:val="28"/>
              </w:rPr>
              <w:t>—2020年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8" w:hRule="atLeast"/>
        </w:trPr>
        <w:tc>
          <w:tcPr>
            <w:tcW w:w="794" w:type="dxa"/>
            <w:vMerge w:val="continue"/>
            <w:vAlign w:val="center"/>
          </w:tcPr>
          <w:p>
            <w:pPr>
              <w:spacing w:line="480" w:lineRule="exact"/>
              <w:jc w:val="center"/>
              <w:rPr>
                <w:sz w:val="28"/>
                <w:szCs w:val="28"/>
              </w:rPr>
            </w:pPr>
          </w:p>
        </w:tc>
        <w:tc>
          <w:tcPr>
            <w:tcW w:w="1440" w:type="dxa"/>
            <w:vMerge w:val="continue"/>
            <w:vAlign w:val="center"/>
          </w:tcPr>
          <w:p>
            <w:pPr>
              <w:spacing w:line="480" w:lineRule="exact"/>
              <w:jc w:val="center"/>
              <w:rPr>
                <w:sz w:val="28"/>
                <w:szCs w:val="28"/>
              </w:rPr>
            </w:pPr>
          </w:p>
        </w:tc>
        <w:tc>
          <w:tcPr>
            <w:tcW w:w="8257" w:type="dxa"/>
            <w:vAlign w:val="center"/>
          </w:tcPr>
          <w:p>
            <w:pPr>
              <w:spacing w:line="340" w:lineRule="exact"/>
              <w:rPr>
                <w:sz w:val="28"/>
                <w:szCs w:val="28"/>
              </w:rPr>
            </w:pPr>
            <w:r>
              <w:rPr>
                <w:sz w:val="28"/>
                <w:szCs w:val="28"/>
              </w:rPr>
              <w:t>2. 主干公路交通安全防控监测网建设。按省规划要求，建成以市公安交通管理指挥中心（指挥室）为依托，以公安交管部门即机动车缉查布控系统为基础，集交通运行监测、安全风险研判、重点车辆查询、应急指挥调度、勤务监督考核等功能为一体的市级公安交通集成指挥平台，并接入国家、省防控监测网，基本实现可视化指挥调度。努力推进交通运输、公安交管部门高速公路信息化监控设施互连互通、设施设备共享、监控信息资源共享。</w:t>
            </w:r>
          </w:p>
        </w:tc>
        <w:tc>
          <w:tcPr>
            <w:tcW w:w="1559" w:type="dxa"/>
            <w:vMerge w:val="continue"/>
            <w:vAlign w:val="center"/>
          </w:tcPr>
          <w:p>
            <w:pPr>
              <w:spacing w:line="480" w:lineRule="exact"/>
              <w:jc w:val="center"/>
              <w:rPr>
                <w:sz w:val="28"/>
                <w:szCs w:val="28"/>
              </w:rPr>
            </w:pPr>
          </w:p>
        </w:tc>
        <w:tc>
          <w:tcPr>
            <w:tcW w:w="1992" w:type="dxa"/>
            <w:vMerge w:val="continue"/>
            <w:vAlign w:val="center"/>
          </w:tcPr>
          <w:p>
            <w:pPr>
              <w:spacing w:line="360" w:lineRule="exact"/>
              <w:jc w:val="center"/>
              <w:rPr>
                <w:sz w:val="28"/>
                <w:szCs w:val="28"/>
              </w:rPr>
            </w:pPr>
          </w:p>
        </w:tc>
        <w:tc>
          <w:tcPr>
            <w:tcW w:w="1554" w:type="dxa"/>
            <w:vMerge w:val="continue"/>
            <w:vAlign w:val="center"/>
          </w:tcPr>
          <w:p>
            <w:pPr>
              <w:spacing w:line="40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7" w:hRule="atLeast"/>
        </w:trPr>
        <w:tc>
          <w:tcPr>
            <w:tcW w:w="794" w:type="dxa"/>
            <w:vMerge w:val="continue"/>
            <w:vAlign w:val="center"/>
          </w:tcPr>
          <w:p>
            <w:pPr>
              <w:spacing w:line="480" w:lineRule="exact"/>
              <w:jc w:val="center"/>
              <w:rPr>
                <w:sz w:val="28"/>
                <w:szCs w:val="28"/>
              </w:rPr>
            </w:pPr>
          </w:p>
        </w:tc>
        <w:tc>
          <w:tcPr>
            <w:tcW w:w="1440" w:type="dxa"/>
            <w:vMerge w:val="continue"/>
            <w:vAlign w:val="center"/>
          </w:tcPr>
          <w:p>
            <w:pPr>
              <w:spacing w:line="480" w:lineRule="exact"/>
              <w:jc w:val="center"/>
              <w:rPr>
                <w:sz w:val="28"/>
                <w:szCs w:val="28"/>
              </w:rPr>
            </w:pPr>
          </w:p>
        </w:tc>
        <w:tc>
          <w:tcPr>
            <w:tcW w:w="8257" w:type="dxa"/>
            <w:vAlign w:val="center"/>
          </w:tcPr>
          <w:p>
            <w:pPr>
              <w:spacing w:line="340" w:lineRule="exact"/>
              <w:rPr>
                <w:sz w:val="28"/>
                <w:szCs w:val="28"/>
              </w:rPr>
            </w:pPr>
            <w:r>
              <w:rPr>
                <w:sz w:val="28"/>
                <w:szCs w:val="28"/>
              </w:rPr>
              <w:t>3. 城市公共基础设施安全整治工程工程。以人员密集场所、高层建筑、在建工程和城市公共基础设施为重点，加大对城市交通设施、隧道、桥梁、输油气管道、城市燃气与化学品输送管网隐患的排查治理，加强油气设施保护管理，推进油气管网及其附属设施安全监测，加强重大火灾隐患治理。实施中小学校舍加固改造。</w:t>
            </w:r>
          </w:p>
        </w:tc>
        <w:tc>
          <w:tcPr>
            <w:tcW w:w="1559" w:type="dxa"/>
            <w:vMerge w:val="continue"/>
            <w:vAlign w:val="center"/>
          </w:tcPr>
          <w:p>
            <w:pPr>
              <w:spacing w:line="480" w:lineRule="exact"/>
              <w:jc w:val="center"/>
              <w:rPr>
                <w:sz w:val="28"/>
                <w:szCs w:val="28"/>
              </w:rPr>
            </w:pPr>
          </w:p>
        </w:tc>
        <w:tc>
          <w:tcPr>
            <w:tcW w:w="1992" w:type="dxa"/>
            <w:vMerge w:val="continue"/>
            <w:vAlign w:val="center"/>
          </w:tcPr>
          <w:p>
            <w:pPr>
              <w:spacing w:line="360" w:lineRule="exact"/>
              <w:jc w:val="center"/>
              <w:rPr>
                <w:sz w:val="28"/>
                <w:szCs w:val="28"/>
              </w:rPr>
            </w:pPr>
          </w:p>
        </w:tc>
        <w:tc>
          <w:tcPr>
            <w:tcW w:w="1554" w:type="dxa"/>
            <w:vMerge w:val="continue"/>
            <w:vAlign w:val="center"/>
          </w:tcPr>
          <w:p>
            <w:pPr>
              <w:spacing w:line="40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5" w:hRule="atLeast"/>
        </w:trPr>
        <w:tc>
          <w:tcPr>
            <w:tcW w:w="794" w:type="dxa"/>
            <w:vMerge w:val="continue"/>
            <w:vAlign w:val="center"/>
          </w:tcPr>
          <w:p>
            <w:pPr>
              <w:spacing w:line="480" w:lineRule="exact"/>
              <w:jc w:val="center"/>
              <w:rPr>
                <w:sz w:val="28"/>
                <w:szCs w:val="28"/>
              </w:rPr>
            </w:pPr>
          </w:p>
        </w:tc>
        <w:tc>
          <w:tcPr>
            <w:tcW w:w="1440" w:type="dxa"/>
            <w:vMerge w:val="continue"/>
            <w:vAlign w:val="center"/>
          </w:tcPr>
          <w:p>
            <w:pPr>
              <w:spacing w:line="480" w:lineRule="exact"/>
              <w:jc w:val="center"/>
              <w:rPr>
                <w:sz w:val="28"/>
                <w:szCs w:val="28"/>
              </w:rPr>
            </w:pPr>
          </w:p>
        </w:tc>
        <w:tc>
          <w:tcPr>
            <w:tcW w:w="8257" w:type="dxa"/>
            <w:vAlign w:val="center"/>
          </w:tcPr>
          <w:p>
            <w:pPr>
              <w:spacing w:line="340" w:lineRule="exact"/>
              <w:rPr>
                <w:sz w:val="28"/>
                <w:szCs w:val="28"/>
              </w:rPr>
            </w:pPr>
            <w:r>
              <w:rPr>
                <w:sz w:val="28"/>
                <w:szCs w:val="28"/>
              </w:rPr>
              <w:t>4.消防战勤保障能力建设工程。建设应急物资储备库储备必须的应急救援物资，实现一次满足500名救援人员的保障需求。积极提升灭火和应急救援能力，实现全市10个综合应急救援大队按照《县级综合性（消防）应急救援装备配备标准》配齐应急救援装备，11个公安消防大队、16个现役执勤中队按照《城市消防站建设标准》配齐灭火救援装备，进一步提升消防战勤保障能力</w:t>
            </w:r>
          </w:p>
        </w:tc>
        <w:tc>
          <w:tcPr>
            <w:tcW w:w="1559" w:type="dxa"/>
            <w:vMerge w:val="continue"/>
            <w:vAlign w:val="center"/>
          </w:tcPr>
          <w:p>
            <w:pPr>
              <w:spacing w:line="480" w:lineRule="exact"/>
              <w:jc w:val="center"/>
              <w:rPr>
                <w:sz w:val="28"/>
                <w:szCs w:val="28"/>
              </w:rPr>
            </w:pPr>
          </w:p>
        </w:tc>
        <w:tc>
          <w:tcPr>
            <w:tcW w:w="1992" w:type="dxa"/>
            <w:vMerge w:val="continue"/>
            <w:vAlign w:val="center"/>
          </w:tcPr>
          <w:p>
            <w:pPr>
              <w:spacing w:line="360" w:lineRule="exact"/>
              <w:jc w:val="center"/>
              <w:rPr>
                <w:sz w:val="28"/>
                <w:szCs w:val="28"/>
              </w:rPr>
            </w:pPr>
          </w:p>
        </w:tc>
        <w:tc>
          <w:tcPr>
            <w:tcW w:w="1554" w:type="dxa"/>
            <w:vMerge w:val="continue"/>
            <w:vAlign w:val="center"/>
          </w:tcPr>
          <w:p>
            <w:pPr>
              <w:spacing w:line="48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3" w:hRule="atLeast"/>
        </w:trPr>
        <w:tc>
          <w:tcPr>
            <w:tcW w:w="15596" w:type="dxa"/>
            <w:gridSpan w:val="6"/>
            <w:vAlign w:val="center"/>
          </w:tcPr>
          <w:p>
            <w:pPr>
              <w:spacing w:line="360" w:lineRule="exact"/>
              <w:rPr>
                <w:sz w:val="28"/>
                <w:szCs w:val="28"/>
              </w:rPr>
            </w:pPr>
            <w:r>
              <w:rPr>
                <w:sz w:val="28"/>
                <w:szCs w:val="28"/>
              </w:rPr>
              <w:t>“十三五”期间，曲靖市将围绕主要任务和省安全生产“十三五”规划提出的要求，重点推进10项重点工程建设，测算总投资12.8亿元，资金来源主要是政府的项目补贴，争取部分中央、省财政资金支持，其余由市、县（市、区）两级政府投入以及相关企业投资</w:t>
            </w:r>
          </w:p>
        </w:tc>
      </w:tr>
    </w:tbl>
    <w:p>
      <w:pPr>
        <w:ind w:firstLine="640" w:firstLineChars="200"/>
        <w:rPr>
          <w:szCs w:val="32"/>
        </w:rPr>
        <w:sectPr>
          <w:footerReference r:id="rId5" w:type="default"/>
          <w:footerReference r:id="rId6" w:type="even"/>
          <w:pgSz w:w="16838" w:h="11906" w:orient="landscape"/>
          <w:pgMar w:top="1474" w:right="1985" w:bottom="1588" w:left="2098" w:header="851" w:footer="992" w:gutter="0"/>
          <w:cols w:space="720" w:num="1"/>
          <w:docGrid w:type="lines" w:linePitch="579" w:charSpace="21679"/>
        </w:sectPr>
      </w:pPr>
    </w:p>
    <w:p>
      <w:pPr>
        <w:rPr>
          <w:szCs w:val="32"/>
        </w:rPr>
      </w:pPr>
    </w:p>
    <w:p>
      <w:pPr>
        <w:rPr>
          <w:szCs w:val="32"/>
        </w:rPr>
      </w:pPr>
    </w:p>
    <w:p>
      <w:pPr>
        <w:rPr>
          <w:szCs w:val="32"/>
        </w:rPr>
      </w:pPr>
    </w:p>
    <w:p>
      <w:pPr>
        <w:rPr>
          <w:szCs w:val="32"/>
        </w:rPr>
      </w:pPr>
    </w:p>
    <w:p>
      <w:pPr>
        <w:rPr>
          <w:szCs w:val="32"/>
        </w:rPr>
      </w:pPr>
    </w:p>
    <w:p>
      <w:pPr>
        <w:rPr>
          <w:szCs w:val="32"/>
        </w:rPr>
      </w:pPr>
    </w:p>
    <w:p>
      <w:pPr>
        <w:rPr>
          <w:szCs w:val="32"/>
        </w:rPr>
      </w:pPr>
    </w:p>
    <w:p>
      <w:pPr>
        <w:rPr>
          <w:szCs w:val="32"/>
        </w:rPr>
      </w:pPr>
    </w:p>
    <w:p>
      <w:pPr>
        <w:rPr>
          <w:szCs w:val="32"/>
        </w:rPr>
      </w:pPr>
    </w:p>
    <w:p>
      <w:pPr>
        <w:rPr>
          <w:rFonts w:hint="eastAsia"/>
          <w:szCs w:val="32"/>
        </w:rPr>
      </w:pPr>
    </w:p>
    <w:p>
      <w:pPr>
        <w:rPr>
          <w:rFonts w:hint="eastAsia"/>
          <w:szCs w:val="32"/>
        </w:rPr>
      </w:pPr>
    </w:p>
    <w:p>
      <w:pPr>
        <w:rPr>
          <w:rFonts w:hint="eastAsia"/>
          <w:szCs w:val="32"/>
        </w:rPr>
      </w:pPr>
    </w:p>
    <w:p>
      <w:pPr>
        <w:rPr>
          <w:rFonts w:hint="eastAsia"/>
          <w:szCs w:val="32"/>
        </w:rPr>
      </w:pPr>
    </w:p>
    <w:p>
      <w:pPr>
        <w:rPr>
          <w:rFonts w:hint="eastAsia"/>
          <w:szCs w:val="32"/>
        </w:rPr>
      </w:pPr>
    </w:p>
    <w:p>
      <w:pPr>
        <w:rPr>
          <w:rFonts w:hint="eastAsia"/>
          <w:szCs w:val="32"/>
        </w:rPr>
      </w:pPr>
    </w:p>
    <w:p>
      <w:pPr>
        <w:rPr>
          <w:rFonts w:hint="eastAsia"/>
          <w:szCs w:val="32"/>
        </w:rPr>
      </w:pPr>
    </w:p>
    <w:p>
      <w:pPr>
        <w:rPr>
          <w:rFonts w:hint="eastAsia"/>
          <w:szCs w:val="32"/>
        </w:rPr>
      </w:pPr>
    </w:p>
    <w:p>
      <w:pPr>
        <w:rPr>
          <w:rFonts w:hint="eastAsia"/>
          <w:szCs w:val="32"/>
        </w:rPr>
      </w:pPr>
    </w:p>
    <w:p>
      <w:pPr>
        <w:rPr>
          <w:rFonts w:hint="eastAsia"/>
        </w:rPr>
      </w:pPr>
    </w:p>
    <w:tbl>
      <w:tblPr>
        <w:tblStyle w:val="3"/>
        <w:tblW w:w="0" w:type="auto"/>
        <w:tblInd w:w="108"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8952"/>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82" w:hRule="atLeast"/>
        </w:trPr>
        <w:tc>
          <w:tcPr>
            <w:tcW w:w="8952" w:type="dxa"/>
            <w:tcBorders>
              <w:left w:val="nil"/>
              <w:bottom w:val="single" w:color="auto" w:sz="8" w:space="0"/>
              <w:right w:val="nil"/>
            </w:tcBorders>
          </w:tcPr>
          <w:p>
            <w:pPr>
              <w:ind w:firstLine="280" w:firstLineChars="100"/>
              <w:rPr>
                <w:spacing w:val="-4"/>
                <w:sz w:val="28"/>
                <w:szCs w:val="28"/>
              </w:rPr>
            </w:pPr>
            <w:r>
              <w:rPr>
                <w:sz w:val="28"/>
                <w:szCs w:val="28"/>
              </w:rPr>
              <w:t>抄送：市委办公室，市人大常委会办公室，市政协办公室</w:t>
            </w:r>
            <w:r>
              <w:rPr>
                <w:spacing w:val="-4"/>
                <w:sz w:val="28"/>
                <w:szCs w:val="28"/>
              </w:rPr>
              <w:t xml:space="preserve">。 </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74" w:hRule="atLeast"/>
        </w:trPr>
        <w:tc>
          <w:tcPr>
            <w:tcW w:w="8952" w:type="dxa"/>
            <w:tcBorders>
              <w:top w:val="single" w:color="auto" w:sz="8" w:space="0"/>
              <w:left w:val="nil"/>
              <w:right w:val="nil"/>
            </w:tcBorders>
          </w:tcPr>
          <w:p>
            <w:pPr>
              <w:ind w:firstLine="280" w:firstLineChars="100"/>
              <w:rPr>
                <w:sz w:val="28"/>
                <w:szCs w:val="28"/>
              </w:rPr>
            </w:pPr>
            <w:r>
              <w:rPr>
                <w:sz w:val="28"/>
                <w:szCs w:val="28"/>
              </w:rPr>
              <w:t>曲靖市人民政府办公室                  201</w:t>
            </w:r>
            <w:r>
              <w:rPr>
                <w:rFonts w:hint="eastAsia"/>
                <w:sz w:val="28"/>
                <w:szCs w:val="28"/>
              </w:rPr>
              <w:t>6</w:t>
            </w:r>
            <w:r>
              <w:rPr>
                <w:sz w:val="28"/>
                <w:szCs w:val="28"/>
              </w:rPr>
              <w:t>年</w:t>
            </w:r>
            <w:r>
              <w:rPr>
                <w:rFonts w:hint="eastAsia"/>
                <w:sz w:val="28"/>
                <w:szCs w:val="28"/>
              </w:rPr>
              <w:t>12</w:t>
            </w:r>
            <w:r>
              <w:rPr>
                <w:sz w:val="28"/>
                <w:szCs w:val="28"/>
              </w:rPr>
              <w:t>月</w:t>
            </w:r>
            <w:r>
              <w:rPr>
                <w:rFonts w:hint="eastAsia"/>
                <w:sz w:val="28"/>
                <w:szCs w:val="28"/>
              </w:rPr>
              <w:t>30</w:t>
            </w:r>
            <w:r>
              <w:rPr>
                <w:sz w:val="28"/>
                <w:szCs w:val="28"/>
              </w:rPr>
              <w:t>日印发</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方正仿宋_GBK">
    <w:altName w:val="Arial Unicode MS"/>
    <w:panose1 w:val="00000000000000000000"/>
    <w:charset w:val="86"/>
    <w:family w:val="script"/>
    <w:pitch w:val="default"/>
    <w:sig w:usb0="00000000" w:usb1="00000000" w:usb2="00000010" w:usb3="00000000" w:csb0="00040000" w:csb1="00000000"/>
  </w:font>
  <w:font w:name="方正小标宋_GBK">
    <w:altName w:val="Arial Unicode MS"/>
    <w:panose1 w:val="00000000000000000000"/>
    <w:charset w:val="86"/>
    <w:family w:val="script"/>
    <w:pitch w:val="default"/>
    <w:sig w:usb0="00000000" w:usb1="00000000" w:usb2="00000010" w:usb3="00000000" w:csb0="00040000" w:csb1="00000000"/>
  </w:font>
  <w:font w:name="方正黑体_GBK">
    <w:altName w:val="Arial Unicode MS"/>
    <w:panose1 w:val="00000000000000000000"/>
    <w:charset w:val="86"/>
    <w:family w:val="script"/>
    <w:pitch w:val="default"/>
    <w:sig w:usb0="00000000" w:usb1="00000000" w:usb2="00000010" w:usb3="00000000" w:csb0="00040000" w:csb1="00000000"/>
  </w:font>
  <w:font w:name="方正楷体_GBK">
    <w:altName w:val="Arial Unicode MS"/>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280"/>
      <w:jc w:val="right"/>
      <w:rPr>
        <w:sz w:val="28"/>
        <w:szCs w:val="28"/>
      </w:rPr>
    </w:pPr>
    <w:r>
      <w:rPr>
        <w:rFonts w:hint="eastAsia"/>
        <w:kern w:val="0"/>
        <w:sz w:val="28"/>
        <w:szCs w:val="28"/>
      </w:rPr>
      <w:t>—</w:t>
    </w:r>
    <w:r>
      <w:rPr>
        <w:kern w:val="0"/>
        <w:sz w:val="28"/>
        <w:szCs w:val="28"/>
      </w:rPr>
      <w:t xml:space="preserve"> </w:t>
    </w:r>
    <w:r>
      <w:rPr>
        <w:kern w:val="0"/>
        <w:sz w:val="28"/>
        <w:szCs w:val="28"/>
      </w:rPr>
      <w:fldChar w:fldCharType="begin"/>
    </w:r>
    <w:r>
      <w:rPr>
        <w:kern w:val="0"/>
        <w:sz w:val="28"/>
        <w:szCs w:val="28"/>
      </w:rPr>
      <w:instrText xml:space="preserve"> PAGE </w:instrText>
    </w:r>
    <w:r>
      <w:rPr>
        <w:kern w:val="0"/>
        <w:sz w:val="28"/>
        <w:szCs w:val="28"/>
      </w:rPr>
      <w:fldChar w:fldCharType="separate"/>
    </w:r>
    <w:r>
      <w:rPr>
        <w:kern w:val="0"/>
        <w:sz w:val="28"/>
        <w:szCs w:val="28"/>
      </w:rPr>
      <w:t>53</w:t>
    </w:r>
    <w:r>
      <w:rPr>
        <w:kern w:val="0"/>
        <w:sz w:val="28"/>
        <w:szCs w:val="28"/>
      </w:rPr>
      <w:fldChar w:fldCharType="end"/>
    </w:r>
    <w:r>
      <w:rPr>
        <w:kern w:val="0"/>
        <w:sz w:val="28"/>
        <w:szCs w:val="28"/>
      </w:rPr>
      <w:t xml:space="preserve"> </w:t>
    </w:r>
    <w:r>
      <w:rPr>
        <w:rFonts w:hint="eastAsia"/>
        <w:kern w:val="0"/>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280" w:firstLineChars="100"/>
      <w:rPr>
        <w:sz w:val="28"/>
        <w:szCs w:val="28"/>
      </w:rPr>
    </w:pPr>
    <w:r>
      <w:rPr>
        <w:rFonts w:hint="eastAsia"/>
        <w:kern w:val="0"/>
        <w:sz w:val="28"/>
        <w:szCs w:val="28"/>
      </w:rPr>
      <w:t>—</w:t>
    </w:r>
    <w:r>
      <w:rPr>
        <w:kern w:val="0"/>
        <w:sz w:val="28"/>
        <w:szCs w:val="28"/>
      </w:rPr>
      <w:t xml:space="preserve"> </w:t>
    </w:r>
    <w:r>
      <w:rPr>
        <w:kern w:val="0"/>
        <w:sz w:val="28"/>
        <w:szCs w:val="28"/>
      </w:rPr>
      <w:fldChar w:fldCharType="begin"/>
    </w:r>
    <w:r>
      <w:rPr>
        <w:kern w:val="0"/>
        <w:sz w:val="28"/>
        <w:szCs w:val="28"/>
      </w:rPr>
      <w:instrText xml:space="preserve"> PAGE </w:instrText>
    </w:r>
    <w:r>
      <w:rPr>
        <w:kern w:val="0"/>
        <w:sz w:val="28"/>
        <w:szCs w:val="28"/>
      </w:rPr>
      <w:fldChar w:fldCharType="separate"/>
    </w:r>
    <w:r>
      <w:rPr>
        <w:kern w:val="0"/>
        <w:sz w:val="28"/>
        <w:szCs w:val="28"/>
      </w:rPr>
      <w:t>54</w:t>
    </w:r>
    <w:r>
      <w:rPr>
        <w:kern w:val="0"/>
        <w:sz w:val="28"/>
        <w:szCs w:val="28"/>
      </w:rPr>
      <w:fldChar w:fldCharType="end"/>
    </w:r>
    <w:r>
      <w:rPr>
        <w:kern w:val="0"/>
        <w:sz w:val="28"/>
        <w:szCs w:val="28"/>
      </w:rPr>
      <w:t xml:space="preserve"> </w:t>
    </w:r>
    <w:r>
      <w:rPr>
        <w:rFonts w:hint="eastAsia"/>
        <w:kern w:val="0"/>
        <w:sz w:val="28"/>
        <w:szCs w:val="28"/>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sz w:val="28"/>
        <w:szCs w:val="28"/>
      </w:rPr>
    </w:pPr>
    <w:r>
      <w:rPr>
        <w:rFonts w:hint="eastAsia"/>
        <w:kern w:val="0"/>
        <w:sz w:val="28"/>
        <w:szCs w:val="28"/>
      </w:rPr>
      <w:t>—</w:t>
    </w:r>
    <w:r>
      <w:rPr>
        <w:kern w:val="0"/>
        <w:sz w:val="28"/>
        <w:szCs w:val="28"/>
      </w:rPr>
      <w:t xml:space="preserve"> </w:t>
    </w:r>
    <w:r>
      <w:rPr>
        <w:kern w:val="0"/>
        <w:sz w:val="28"/>
        <w:szCs w:val="28"/>
      </w:rPr>
      <w:fldChar w:fldCharType="begin"/>
    </w:r>
    <w:r>
      <w:rPr>
        <w:kern w:val="0"/>
        <w:sz w:val="28"/>
        <w:szCs w:val="28"/>
      </w:rPr>
      <w:instrText xml:space="preserve"> PAGE </w:instrText>
    </w:r>
    <w:r>
      <w:rPr>
        <w:kern w:val="0"/>
        <w:sz w:val="28"/>
        <w:szCs w:val="28"/>
      </w:rPr>
      <w:fldChar w:fldCharType="separate"/>
    </w:r>
    <w:r>
      <w:rPr>
        <w:kern w:val="0"/>
        <w:sz w:val="28"/>
        <w:szCs w:val="28"/>
      </w:rPr>
      <w:t>58</w:t>
    </w:r>
    <w:r>
      <w:rPr>
        <w:kern w:val="0"/>
        <w:sz w:val="28"/>
        <w:szCs w:val="28"/>
      </w:rPr>
      <w:fldChar w:fldCharType="end"/>
    </w:r>
    <w:r>
      <w:rPr>
        <w:kern w:val="0"/>
        <w:sz w:val="28"/>
        <w:szCs w:val="28"/>
      </w:rPr>
      <w:t xml:space="preserve"> </w:t>
    </w:r>
    <w:r>
      <w:rPr>
        <w:rFonts w:hint="eastAsia"/>
        <w:kern w:val="0"/>
        <w:sz w:val="28"/>
        <w:szCs w:val="28"/>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sz w:val="28"/>
        <w:szCs w:val="28"/>
      </w:rPr>
    </w:pPr>
    <w:r>
      <w:rPr>
        <w:rFonts w:hint="eastAsia"/>
        <w:kern w:val="0"/>
        <w:sz w:val="28"/>
        <w:szCs w:val="28"/>
      </w:rPr>
      <w:t>—</w:t>
    </w:r>
    <w:r>
      <w:rPr>
        <w:kern w:val="0"/>
        <w:sz w:val="28"/>
        <w:szCs w:val="28"/>
      </w:rPr>
      <w:t xml:space="preserve"> </w:t>
    </w:r>
    <w:r>
      <w:rPr>
        <w:kern w:val="0"/>
        <w:sz w:val="28"/>
        <w:szCs w:val="28"/>
      </w:rPr>
      <w:fldChar w:fldCharType="begin"/>
    </w:r>
    <w:r>
      <w:rPr>
        <w:kern w:val="0"/>
        <w:sz w:val="28"/>
        <w:szCs w:val="28"/>
      </w:rPr>
      <w:instrText xml:space="preserve"> PAGE </w:instrText>
    </w:r>
    <w:r>
      <w:rPr>
        <w:kern w:val="0"/>
        <w:sz w:val="28"/>
        <w:szCs w:val="28"/>
      </w:rPr>
      <w:fldChar w:fldCharType="separate"/>
    </w:r>
    <w:r>
      <w:rPr>
        <w:kern w:val="0"/>
        <w:sz w:val="28"/>
        <w:szCs w:val="28"/>
      </w:rPr>
      <w:t>58</w:t>
    </w:r>
    <w:r>
      <w:rPr>
        <w:kern w:val="0"/>
        <w:sz w:val="28"/>
        <w:szCs w:val="28"/>
      </w:rPr>
      <w:fldChar w:fldCharType="end"/>
    </w:r>
    <w:r>
      <w:rPr>
        <w:kern w:val="0"/>
        <w:sz w:val="28"/>
        <w:szCs w:val="28"/>
      </w:rPr>
      <w:t xml:space="preserve"> </w:t>
    </w:r>
    <w:r>
      <w:rPr>
        <w:rFonts w:hint="eastAsia"/>
        <w:kern w:val="0"/>
        <w:sz w:val="28"/>
        <w:szCs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8F5F4D"/>
    <w:rsid w:val="00006CD5"/>
    <w:rsid w:val="000278AC"/>
    <w:rsid w:val="000328C7"/>
    <w:rsid w:val="00034824"/>
    <w:rsid w:val="00035278"/>
    <w:rsid w:val="00061E57"/>
    <w:rsid w:val="000722C0"/>
    <w:rsid w:val="00076AD9"/>
    <w:rsid w:val="00087B52"/>
    <w:rsid w:val="000A4540"/>
    <w:rsid w:val="000E3D0D"/>
    <w:rsid w:val="00141618"/>
    <w:rsid w:val="00155AAC"/>
    <w:rsid w:val="001B47A3"/>
    <w:rsid w:val="001D21B3"/>
    <w:rsid w:val="001D58D6"/>
    <w:rsid w:val="001F0FA7"/>
    <w:rsid w:val="00206B2F"/>
    <w:rsid w:val="00220E30"/>
    <w:rsid w:val="00226C90"/>
    <w:rsid w:val="002504EE"/>
    <w:rsid w:val="00255EFB"/>
    <w:rsid w:val="002815E0"/>
    <w:rsid w:val="002820BC"/>
    <w:rsid w:val="002860E8"/>
    <w:rsid w:val="002A589C"/>
    <w:rsid w:val="002C33A6"/>
    <w:rsid w:val="002D2B8B"/>
    <w:rsid w:val="002D7BF5"/>
    <w:rsid w:val="003109BB"/>
    <w:rsid w:val="00313CC9"/>
    <w:rsid w:val="003365E5"/>
    <w:rsid w:val="00376417"/>
    <w:rsid w:val="00381C55"/>
    <w:rsid w:val="00397D17"/>
    <w:rsid w:val="003B0FD6"/>
    <w:rsid w:val="003B197E"/>
    <w:rsid w:val="003C2773"/>
    <w:rsid w:val="003C5C39"/>
    <w:rsid w:val="003D224F"/>
    <w:rsid w:val="003D4C57"/>
    <w:rsid w:val="003D70F7"/>
    <w:rsid w:val="003D7EA9"/>
    <w:rsid w:val="003E1051"/>
    <w:rsid w:val="003F3177"/>
    <w:rsid w:val="004435F8"/>
    <w:rsid w:val="00443DD6"/>
    <w:rsid w:val="00466D54"/>
    <w:rsid w:val="0049413A"/>
    <w:rsid w:val="004D7EFE"/>
    <w:rsid w:val="004E235D"/>
    <w:rsid w:val="00521718"/>
    <w:rsid w:val="0052299C"/>
    <w:rsid w:val="00524E05"/>
    <w:rsid w:val="00535BAF"/>
    <w:rsid w:val="005521BF"/>
    <w:rsid w:val="00570BBE"/>
    <w:rsid w:val="00581B3F"/>
    <w:rsid w:val="00581E77"/>
    <w:rsid w:val="00587347"/>
    <w:rsid w:val="005901BD"/>
    <w:rsid w:val="00597C68"/>
    <w:rsid w:val="005B08F6"/>
    <w:rsid w:val="005E01F8"/>
    <w:rsid w:val="005F32DC"/>
    <w:rsid w:val="00603F34"/>
    <w:rsid w:val="00660DF2"/>
    <w:rsid w:val="00682AD1"/>
    <w:rsid w:val="0068341E"/>
    <w:rsid w:val="00696218"/>
    <w:rsid w:val="006979FF"/>
    <w:rsid w:val="006A62EF"/>
    <w:rsid w:val="006B6DD5"/>
    <w:rsid w:val="006C6C2A"/>
    <w:rsid w:val="006E669C"/>
    <w:rsid w:val="006F08F6"/>
    <w:rsid w:val="00716E0C"/>
    <w:rsid w:val="00740BB1"/>
    <w:rsid w:val="007869B5"/>
    <w:rsid w:val="00793BAB"/>
    <w:rsid w:val="007971A0"/>
    <w:rsid w:val="007C6144"/>
    <w:rsid w:val="007C7C87"/>
    <w:rsid w:val="007F3792"/>
    <w:rsid w:val="00800B04"/>
    <w:rsid w:val="0081077C"/>
    <w:rsid w:val="00822D80"/>
    <w:rsid w:val="0084186A"/>
    <w:rsid w:val="00862378"/>
    <w:rsid w:val="008704E9"/>
    <w:rsid w:val="00882FA7"/>
    <w:rsid w:val="008915CB"/>
    <w:rsid w:val="008A2B05"/>
    <w:rsid w:val="008D64CA"/>
    <w:rsid w:val="008D79A4"/>
    <w:rsid w:val="008F2E21"/>
    <w:rsid w:val="008F5F4D"/>
    <w:rsid w:val="00915A4A"/>
    <w:rsid w:val="009368C4"/>
    <w:rsid w:val="00960BCA"/>
    <w:rsid w:val="00994F18"/>
    <w:rsid w:val="00996CEB"/>
    <w:rsid w:val="00996FDC"/>
    <w:rsid w:val="009B5666"/>
    <w:rsid w:val="009C2D7D"/>
    <w:rsid w:val="009C6B43"/>
    <w:rsid w:val="009D1F49"/>
    <w:rsid w:val="00A4593D"/>
    <w:rsid w:val="00A607BF"/>
    <w:rsid w:val="00A91FCC"/>
    <w:rsid w:val="00AA4C07"/>
    <w:rsid w:val="00AD1678"/>
    <w:rsid w:val="00AD300D"/>
    <w:rsid w:val="00AD5CC2"/>
    <w:rsid w:val="00AE523C"/>
    <w:rsid w:val="00AE7FF4"/>
    <w:rsid w:val="00AF7C66"/>
    <w:rsid w:val="00B24CE9"/>
    <w:rsid w:val="00B440F4"/>
    <w:rsid w:val="00B457A1"/>
    <w:rsid w:val="00B60EE3"/>
    <w:rsid w:val="00B823AC"/>
    <w:rsid w:val="00B82DCB"/>
    <w:rsid w:val="00B83718"/>
    <w:rsid w:val="00B97881"/>
    <w:rsid w:val="00BA0299"/>
    <w:rsid w:val="00BB6A8F"/>
    <w:rsid w:val="00BD67A3"/>
    <w:rsid w:val="00BE1483"/>
    <w:rsid w:val="00C046DD"/>
    <w:rsid w:val="00C24AAC"/>
    <w:rsid w:val="00C277FB"/>
    <w:rsid w:val="00C43A65"/>
    <w:rsid w:val="00C56E6A"/>
    <w:rsid w:val="00C71464"/>
    <w:rsid w:val="00C83CD3"/>
    <w:rsid w:val="00C87AEF"/>
    <w:rsid w:val="00C9291D"/>
    <w:rsid w:val="00CB49BC"/>
    <w:rsid w:val="00CC2DD3"/>
    <w:rsid w:val="00CC5348"/>
    <w:rsid w:val="00CF5E85"/>
    <w:rsid w:val="00D024C0"/>
    <w:rsid w:val="00D1578A"/>
    <w:rsid w:val="00D15BDB"/>
    <w:rsid w:val="00D54A2E"/>
    <w:rsid w:val="00D631ED"/>
    <w:rsid w:val="00D760B1"/>
    <w:rsid w:val="00D77A09"/>
    <w:rsid w:val="00D810E8"/>
    <w:rsid w:val="00DD4F0B"/>
    <w:rsid w:val="00DE713B"/>
    <w:rsid w:val="00DF5657"/>
    <w:rsid w:val="00E05E80"/>
    <w:rsid w:val="00E075AF"/>
    <w:rsid w:val="00E23ADC"/>
    <w:rsid w:val="00E3537D"/>
    <w:rsid w:val="00E36F07"/>
    <w:rsid w:val="00E461FE"/>
    <w:rsid w:val="00E53D93"/>
    <w:rsid w:val="00E8533B"/>
    <w:rsid w:val="00EC7E8E"/>
    <w:rsid w:val="00ED5C37"/>
    <w:rsid w:val="00EE2133"/>
    <w:rsid w:val="00EE4E07"/>
    <w:rsid w:val="00F054B6"/>
    <w:rsid w:val="00F055DD"/>
    <w:rsid w:val="00F26265"/>
    <w:rsid w:val="00F31079"/>
    <w:rsid w:val="00F377F3"/>
    <w:rsid w:val="00F46E74"/>
    <w:rsid w:val="00F567F0"/>
    <w:rsid w:val="00F95338"/>
    <w:rsid w:val="00F95DAD"/>
    <w:rsid w:val="00FA20F5"/>
    <w:rsid w:val="00FB2274"/>
    <w:rsid w:val="00FB72DF"/>
    <w:rsid w:val="00FD4492"/>
    <w:rsid w:val="00FF0CA4"/>
    <w:rsid w:val="6436054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nhideWhenUsed="0" w:uiPriority="99" w:semiHidden="0" w:name="Table Subtle 1"/>
    <w:lsdException w:uiPriority="99" w:name="Table Subtle 2"/>
    <w:lsdException w:uiPriority="99" w:name="Table Web 1"/>
    <w:lsdException w:unhideWhenUsed="0" w:uiPriority="99" w:semiHidden="0" w:name="Table Web 2"/>
    <w:lsdException w:unhideWhenUsed="0" w:uiPriority="99" w:semiHidden="0"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600" w:lineRule="exact"/>
      <w:jc w:val="both"/>
    </w:pPr>
    <w:rPr>
      <w:rFonts w:ascii="Times New Roman" w:hAnsi="Times New Roman" w:eastAsia="方正仿宋_GBK" w:cs="Times New Roman"/>
      <w:kern w:val="2"/>
      <w:sz w:val="32"/>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6"/>
    <w:uiPriority w:val="0"/>
    <w:pPr>
      <w:tabs>
        <w:tab w:val="center" w:pos="4153"/>
        <w:tab w:val="right" w:pos="8306"/>
      </w:tabs>
      <w:snapToGrid w:val="0"/>
      <w:jc w:val="left"/>
    </w:pPr>
    <w:rPr>
      <w:rFonts w:asciiTheme="minorHAnsi" w:hAnsiTheme="minorHAnsi" w:cstheme="minorBidi"/>
      <w:sz w:val="18"/>
      <w:szCs w:val="18"/>
    </w:rPr>
  </w:style>
  <w:style w:type="character" w:customStyle="1" w:styleId="5">
    <w:name w:val="页脚 Char"/>
    <w:link w:val="2"/>
    <w:uiPriority w:val="0"/>
    <w:rPr>
      <w:rFonts w:eastAsia="方正仿宋_GBK"/>
      <w:sz w:val="18"/>
      <w:szCs w:val="18"/>
    </w:rPr>
  </w:style>
  <w:style w:type="character" w:customStyle="1" w:styleId="6">
    <w:name w:val="页脚 Char1"/>
    <w:basedOn w:val="4"/>
    <w:link w:val="2"/>
    <w:semiHidden/>
    <w:uiPriority w:val="99"/>
    <w:rPr>
      <w:rFonts w:ascii="Times New Roman" w:hAnsi="Times New Roman" w:eastAsia="方正仿宋_GBK"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58</Pages>
  <Words>5001</Words>
  <Characters>28506</Characters>
  <Lines>237</Lines>
  <Paragraphs>66</Paragraphs>
  <TotalTime>0</TotalTime>
  <ScaleCrop>false</ScaleCrop>
  <LinksUpToDate>false</LinksUpToDate>
  <CharactersWithSpaces>33441</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2021-12-28T07:19:00Z</dcterms:created>
  <dc:creator>QJ</dc:creator>
  <cp:lastModifiedBy>丽娜NaNa</cp:lastModifiedBy>
  <dcterms:modified xsi:type="dcterms:W3CDTF">2022-03-22T07:59:39Z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ies>
</file>